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NÔNG NGHIỆP VÀ</w:t>
            </w:r>
            <w:r>
              <w:rPr>
                <w:rtl w:val="0"/>
              </w:rPr>
              <w:t xml:space="preserve"> </w:t>
            </w:r>
            <w:r>
              <w:rPr>
                <w:rtl w:val="0"/>
              </w:rPr>
              <w:br/>
            </w:r>
            <w:r>
              <w:rPr>
                <w:b/>
                <w:bCs/>
                <w:rtl w:val="0"/>
              </w:rPr>
              <w:t>MÔI TRƯỜNG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27/2026/TT-BNNMT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w:t>
            </w:r>
            <w:r>
              <w:rPr>
                <w:rtl w:val="0"/>
              </w:rPr>
              <w:t xml:space="preserve"> </w:t>
            </w:r>
            <w:r>
              <w:rPr>
                <w:i/>
                <w:iCs/>
                <w:rtl w:val="0"/>
              </w:rPr>
              <w:t>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SẢN PHẨM, HÀNG HÓA CÓ MỨC ĐỘ RỦI RO TRUNG BÌNH, MỨC ĐỘ RỦI RO CAO THUỘC TRÁCH NHIỆM QUẢN LÝ CỦA BỘ NÔNG NGHIỆP VÀ MÔI TRƯỜNG</w:t>
      </w:r>
      <w:bookmarkEnd w:id="1"/>
    </w:p>
    <w:p>
      <w:pPr>
        <w:bidi w:val="0"/>
        <w:spacing w:before="120" w:beforeAutospacing="0" w:after="280" w:afterAutospacing="1"/>
        <w:rPr>
          <w:rtl w:val="0"/>
        </w:rPr>
      </w:pPr>
      <w:r>
        <w:rPr>
          <w:i/>
          <w:iCs/>
          <w:rtl w:val="0"/>
        </w:rPr>
        <w:t>Căn cứ Luật Chất lượng sản phẩm, hàng hóa số 05/2007/QH12 được sửa đổi, bổ sung bởi Luật số 78/2025/QH15;</w:t>
      </w:r>
    </w:p>
    <w:p>
      <w:pPr>
        <w:bidi w:val="0"/>
        <w:spacing w:before="120" w:beforeAutospacing="0" w:after="280" w:afterAutospacing="1"/>
        <w:rPr>
          <w:rtl w:val="0"/>
        </w:rPr>
      </w:pPr>
      <w:r>
        <w:rPr>
          <w:i/>
          <w:iCs/>
          <w:rtl w:val="0"/>
        </w:rPr>
        <w:t>Căn cứ Luật Tiêu chuẩn và quy chuẩn kỹ thuật số 68/2006/QH11 được sửa đổi, bổ sung bởi Luật số 35/2018/QH14 và Luật số 70/2025/QH15;</w:t>
      </w:r>
    </w:p>
    <w:p>
      <w:pPr>
        <w:bidi w:val="0"/>
        <w:spacing w:before="120" w:beforeAutospacing="0" w:after="280" w:afterAutospacing="1"/>
        <w:rPr>
          <w:rtl w:val="0"/>
        </w:rPr>
      </w:pPr>
      <w:r>
        <w:rPr>
          <w:i/>
          <w:iCs/>
          <w:rtl w:val="0"/>
        </w:rPr>
        <w:t>Căn cứ Luật Trồng trọt số 31/2018/QH14 được sửa đổi, bổ sung một số điều theo Luật số 146/2025/QH15;</w:t>
      </w:r>
    </w:p>
    <w:p>
      <w:pPr>
        <w:bidi w:val="0"/>
        <w:spacing w:before="120" w:beforeAutospacing="0" w:after="280" w:afterAutospacing="1"/>
        <w:rPr>
          <w:rtl w:val="0"/>
        </w:rPr>
      </w:pPr>
      <w:r>
        <w:rPr>
          <w:i/>
          <w:iCs/>
          <w:rtl w:val="0"/>
        </w:rPr>
        <w:t>Căn cứ Luật Bảo vệ và kiểm dịch thực vật số 41/2013/QH13 được sửa đổi, bổ sung một số điều theo Luật số 146/2025/QH15;</w:t>
      </w:r>
    </w:p>
    <w:p>
      <w:pPr>
        <w:bidi w:val="0"/>
        <w:spacing w:before="120" w:beforeAutospacing="0" w:after="280" w:afterAutospacing="1"/>
        <w:rPr>
          <w:rtl w:val="0"/>
        </w:rPr>
      </w:pPr>
      <w:r>
        <w:rPr>
          <w:i/>
          <w:iCs/>
          <w:rtl w:val="0"/>
        </w:rPr>
        <w:t>Căn cứ Luật Thủy sản số 18/2017/QH14</w:t>
      </w:r>
      <w:r>
        <w:rPr>
          <w:rtl w:val="0"/>
        </w:rPr>
        <w:t xml:space="preserve"> </w:t>
      </w:r>
      <w:r>
        <w:rPr>
          <w:i/>
          <w:iCs/>
          <w:rtl w:val="0"/>
        </w:rPr>
        <w:t>được sửa đổi, bổ sung bởi Luật số 31/2024/QH15, Luật số 43/2024/QH15, Luật số 146/2025/QH15;</w:t>
      </w:r>
    </w:p>
    <w:p>
      <w:pPr>
        <w:bidi w:val="0"/>
        <w:spacing w:before="120" w:beforeAutospacing="0" w:after="280" w:afterAutospacing="1"/>
        <w:rPr>
          <w:rtl w:val="0"/>
        </w:rPr>
      </w:pPr>
      <w:r>
        <w:rPr>
          <w:i/>
          <w:iCs/>
          <w:rtl w:val="0"/>
        </w:rPr>
        <w:t>Căn cứ Luật Chăn nuôi số 32/2018/QH14 được sửa đổi, bổ sung một số điều theo Luật số 146/2025/QH15;</w:t>
      </w:r>
    </w:p>
    <w:p>
      <w:pPr>
        <w:bidi w:val="0"/>
        <w:spacing w:before="120" w:beforeAutospacing="0" w:after="280" w:afterAutospacing="1"/>
        <w:rPr>
          <w:rtl w:val="0"/>
        </w:rPr>
      </w:pPr>
      <w:r>
        <w:rPr>
          <w:i/>
          <w:iCs/>
          <w:rtl w:val="0"/>
        </w:rPr>
        <w:t>Căn cứ Luật Thú y số 79/2015/QH13 được sửa đổi, bổ sung theo Luật số 21/2017/QH14,</w:t>
      </w:r>
      <w:r>
        <w:rPr>
          <w:rtl w:val="0"/>
        </w:rPr>
        <w:t xml:space="preserve"> </w:t>
      </w:r>
      <w:r>
        <w:rPr>
          <w:i/>
          <w:iCs/>
          <w:rtl w:val="0"/>
        </w:rPr>
        <w:t>Luật số 146/2025/QH15;</w:t>
      </w:r>
    </w:p>
    <w:p>
      <w:pPr>
        <w:bidi w:val="0"/>
        <w:spacing w:before="120" w:beforeAutospacing="0" w:after="280" w:afterAutospacing="1"/>
        <w:rPr>
          <w:rtl w:val="0"/>
        </w:rPr>
      </w:pPr>
      <w:r>
        <w:rPr>
          <w:i/>
          <w:iCs/>
          <w:rtl w:val="0"/>
        </w:rPr>
        <w:t>Căn cứ Luật Lâm nghiệp số 16/2017/QH14 được sửa đổi, bổ sung một số điều bởi Luật số 16/2023/QH15, Luật số 31/2024/QH15 và Luật số 146/2025/QH15;</w:t>
      </w:r>
    </w:p>
    <w:p>
      <w:pPr>
        <w:bidi w:val="0"/>
        <w:spacing w:before="120" w:beforeAutospacing="0" w:after="280" w:afterAutospacing="1"/>
        <w:rPr>
          <w:rtl w:val="0"/>
        </w:rPr>
      </w:pPr>
      <w:r>
        <w:rPr>
          <w:i/>
          <w:iCs/>
          <w:rtl w:val="0"/>
        </w:rPr>
        <w:t>Căn cứ Nghị định số 35/2025/NĐ-CP</w:t>
      </w:r>
      <w:r>
        <w:rPr>
          <w:rtl w:val="0"/>
        </w:rPr>
        <w:t xml:space="preserve"> </w:t>
      </w:r>
      <w:r>
        <w:rPr>
          <w:i/>
          <w:iCs/>
          <w:rtl w:val="0"/>
        </w:rPr>
        <w:t>ngày 25 tháng 02 năm 2025 của Chính phủ quy định chức năng, nhiệm vụ, quyền hạn và cơ cấu tổ chức của Bộ Nông nghiệp và Môi trường;</w:t>
      </w:r>
    </w:p>
    <w:p>
      <w:pPr>
        <w:bidi w:val="0"/>
        <w:spacing w:before="120" w:beforeAutospacing="0" w:after="280" w:afterAutospacing="1"/>
        <w:rPr>
          <w:rtl w:val="0"/>
        </w:rPr>
      </w:pPr>
      <w:r>
        <w:rPr>
          <w:i/>
          <w:iCs/>
          <w:rtl w:val="0"/>
        </w:rPr>
        <w:t>Căn cứ Nghị định số 37/2026/NĐ-CP ngày 23 tháng 01 năm 2026 của Chính phủ quy định chi tiết một số điều và biện pháp để tổ chức, hướng dẫn để thi hành Luật Chất lượng sản phẩm, hàng hóa;</w:t>
      </w:r>
    </w:p>
    <w:p>
      <w:pPr>
        <w:bidi w:val="0"/>
        <w:spacing w:before="120" w:beforeAutospacing="0" w:after="280" w:afterAutospacing="1"/>
        <w:rPr>
          <w:rtl w:val="0"/>
        </w:rPr>
      </w:pPr>
      <w:r>
        <w:rPr>
          <w:i/>
          <w:iCs/>
          <w:rtl w:val="0"/>
        </w:rPr>
        <w:t>Căn cứ Nghị định số 22/2026/NĐ-CP</w:t>
      </w:r>
      <w:r>
        <w:rPr>
          <w:rtl w:val="0"/>
        </w:rPr>
        <w:t xml:space="preserve"> </w:t>
      </w:r>
      <w:r>
        <w:rPr>
          <w:i/>
          <w:iCs/>
          <w:rtl w:val="0"/>
        </w:rPr>
        <w:t>ngày</w:t>
      </w:r>
      <w:r>
        <w:rPr>
          <w:rtl w:val="0"/>
        </w:rPr>
        <w:t xml:space="preserve"> </w:t>
      </w:r>
      <w:r>
        <w:rPr>
          <w:i/>
          <w:iCs/>
          <w:rtl w:val="0"/>
        </w:rPr>
        <w:t>16</w:t>
      </w:r>
      <w:r>
        <w:rPr>
          <w:rtl w:val="0"/>
        </w:rPr>
        <w:t xml:space="preserve"> </w:t>
      </w:r>
      <w:r>
        <w:rPr>
          <w:i/>
          <w:iCs/>
          <w:rtl w:val="0"/>
        </w:rPr>
        <w:t>tháng</w:t>
      </w:r>
      <w:r>
        <w:rPr>
          <w:rtl w:val="0"/>
        </w:rPr>
        <w:t xml:space="preserve"> </w:t>
      </w:r>
      <w:r>
        <w:rPr>
          <w:i/>
          <w:iCs/>
          <w:rtl w:val="0"/>
        </w:rPr>
        <w:t>01</w:t>
      </w:r>
      <w:r>
        <w:rPr>
          <w:rtl w:val="0"/>
        </w:rPr>
        <w:t xml:space="preserve"> </w:t>
      </w:r>
      <w:r>
        <w:rPr>
          <w:i/>
          <w:iCs/>
          <w:rtl w:val="0"/>
        </w:rPr>
        <w:t>năm 2026 của Chính phủ quy định chi tiết một số điều và biện pháp để tổ chức, hướng dẫn thi hành Luật Tiêu chuẩn và quy chuẩn kỹ thuật;</w:t>
      </w:r>
    </w:p>
    <w:p>
      <w:pPr>
        <w:bidi w:val="0"/>
        <w:spacing w:before="120" w:beforeAutospacing="0" w:after="280" w:afterAutospacing="1"/>
        <w:rPr>
          <w:rtl w:val="0"/>
        </w:rPr>
      </w:pPr>
      <w:r>
        <w:rPr>
          <w:i/>
          <w:iCs/>
          <w:rtl w:val="0"/>
        </w:rPr>
        <w:t>Theo</w:t>
      </w:r>
      <w:r>
        <w:rPr>
          <w:rtl w:val="0"/>
        </w:rPr>
        <w:t xml:space="preserve"> </w:t>
      </w:r>
      <w:r>
        <w:rPr>
          <w:i/>
          <w:iCs/>
          <w:rtl w:val="0"/>
        </w:rPr>
        <w:t>đề nghị của Cục trưởng Cục Chất lượng, Chế biến và Phát triển thị trường;</w:t>
      </w:r>
    </w:p>
    <w:p>
      <w:pPr>
        <w:bidi w:val="0"/>
        <w:spacing w:before="120" w:beforeAutospacing="0" w:after="280" w:afterAutospacing="1"/>
        <w:rPr>
          <w:rtl w:val="0"/>
        </w:rPr>
      </w:pPr>
      <w:r>
        <w:rPr>
          <w:i/>
          <w:iCs/>
          <w:rtl w:val="0"/>
        </w:rPr>
        <w:t>Bộ trưởng Bộ Nông nghiệp và Môi trường ban</w:t>
      </w:r>
      <w:r>
        <w:rPr>
          <w:rtl w:val="0"/>
        </w:rPr>
        <w:t xml:space="preserve"> </w:t>
      </w:r>
      <w:r>
        <w:rPr>
          <w:i/>
          <w:iCs/>
          <w:rtl w:val="0"/>
        </w:rPr>
        <w:t>hành</w:t>
      </w:r>
      <w:r>
        <w:rPr>
          <w:rtl w:val="0"/>
        </w:rPr>
        <w:t xml:space="preserve"> </w:t>
      </w:r>
      <w:r>
        <w:rPr>
          <w:i/>
          <w:iCs/>
          <w:rtl w:val="0"/>
        </w:rPr>
        <w:t>Thông tư Ban</w:t>
      </w:r>
      <w:r>
        <w:rPr>
          <w:rtl w:val="0"/>
        </w:rPr>
        <w:t xml:space="preserve"> </w:t>
      </w:r>
      <w:r>
        <w:rPr>
          <w:i/>
          <w:iCs/>
          <w:rtl w:val="0"/>
        </w:rPr>
        <w:t>hành</w:t>
      </w:r>
      <w:r>
        <w:rPr>
          <w:rtl w:val="0"/>
        </w:rPr>
        <w:t xml:space="preserve"> </w:t>
      </w:r>
      <w:r>
        <w:rPr>
          <w:i/>
          <w:iCs/>
          <w:rtl w:val="0"/>
        </w:rPr>
        <w:t>Danh mục sản phẩm, hàng hóa có mức độ rủi ro trung bình, mức độ rủi ro cao thuộc trách nhiệm quản lý của Bộ Nông nghiệp và Môi trường.</w:t>
      </w:r>
    </w:p>
    <w:p>
      <w:pPr>
        <w:bidi w:val="0"/>
        <w:spacing w:before="120" w:beforeAutospacing="0" w:after="280" w:afterAutospacing="1"/>
        <w:rPr>
          <w:rtl w:val="0"/>
        </w:rPr>
      </w:pPr>
      <w:bookmarkStart w:id="2" w:name="dieu_1"/>
      <w:r>
        <w:rPr>
          <w:b/>
          <w:bCs/>
          <w:rtl w:val="0"/>
        </w:rPr>
        <w:t>Điều 1. Phạm vi điều chỉnh</w:t>
      </w:r>
      <w:bookmarkEnd w:id="2"/>
    </w:p>
    <w:p>
      <w:pPr>
        <w:bidi w:val="0"/>
        <w:spacing w:before="120" w:beforeAutospacing="0" w:after="280" w:afterAutospacing="1"/>
        <w:rPr>
          <w:rtl w:val="0"/>
        </w:rPr>
      </w:pPr>
      <w:r>
        <w:rPr>
          <w:rtl w:val="0"/>
        </w:rPr>
        <w:t>Thông tư này ban hành Danh mục sản phẩm, hàng hóa có mức độ rủi ro trung bình, mức độ rủi ro cao thuộc trách nhiệm quản lý của Bộ Nông nghiệp và Môi trường.</w:t>
      </w:r>
    </w:p>
    <w:p>
      <w:pPr>
        <w:bidi w:val="0"/>
        <w:spacing w:before="120" w:beforeAutospacing="0" w:after="280" w:afterAutospacing="1"/>
        <w:rPr>
          <w:rtl w:val="0"/>
        </w:rPr>
      </w:pPr>
      <w:bookmarkStart w:id="3" w:name="dieu_2"/>
      <w:r>
        <w:rPr>
          <w:b/>
          <w:bCs/>
          <w:rtl w:val="0"/>
        </w:rPr>
        <w:t>Điều 2. Đối tượng áp dụng</w:t>
      </w:r>
      <w:bookmarkEnd w:id="3"/>
    </w:p>
    <w:p>
      <w:pPr>
        <w:bidi w:val="0"/>
        <w:spacing w:before="120" w:beforeAutospacing="0" w:after="280" w:afterAutospacing="1"/>
        <w:rPr>
          <w:rtl w:val="0"/>
        </w:rPr>
      </w:pPr>
      <w:r>
        <w:rPr>
          <w:rtl w:val="0"/>
        </w:rPr>
        <w:t>Thông tư này áp dụng đối với:</w:t>
      </w:r>
    </w:p>
    <w:p>
      <w:pPr>
        <w:bidi w:val="0"/>
        <w:spacing w:before="120" w:beforeAutospacing="0" w:after="280" w:afterAutospacing="1"/>
        <w:rPr>
          <w:rtl w:val="0"/>
        </w:rPr>
      </w:pPr>
      <w:r>
        <w:rPr>
          <w:rtl w:val="0"/>
        </w:rPr>
        <w:t xml:space="preserve">1. </w:t>
      </w:r>
      <w:r>
        <w:rPr>
          <w:rtl w:val="0"/>
        </w:rPr>
        <w:t>Tổ chức, cá nhân sản xuất, kinh doanh sản phẩm, hàng hóa thuộc Danh mục sản phẩm, hàng hóa có mức độ rủi ro trung bình, mức độ rủi ro cao trên lãnh thổ Việt Nam.</w:t>
      </w:r>
    </w:p>
    <w:p>
      <w:pPr>
        <w:bidi w:val="0"/>
        <w:spacing w:before="120" w:beforeAutospacing="0" w:after="280" w:afterAutospacing="1"/>
        <w:rPr>
          <w:rtl w:val="0"/>
        </w:rPr>
      </w:pPr>
      <w:r>
        <w:rPr>
          <w:rtl w:val="0"/>
        </w:rPr>
        <w:t xml:space="preserve">2. </w:t>
      </w:r>
      <w:r>
        <w:rPr>
          <w:rtl w:val="0"/>
        </w:rPr>
        <w:t>Tổ chức đánh giá sự phù hợp về chất lượng sản phẩm, hàng hóa thuộc Danh mục sản phẩm, hàng hóa có mức độ rủi ro trung bình, mức độ rủi ro cao quy định tại Thông tư này.</w:t>
      </w:r>
    </w:p>
    <w:p>
      <w:pPr>
        <w:bidi w:val="0"/>
        <w:spacing w:before="120" w:beforeAutospacing="0" w:after="280" w:afterAutospacing="1"/>
        <w:rPr>
          <w:rtl w:val="0"/>
        </w:rPr>
      </w:pPr>
      <w:r>
        <w:rPr>
          <w:rtl w:val="0"/>
        </w:rPr>
        <w:t xml:space="preserve">3. </w:t>
      </w:r>
      <w:r>
        <w:rPr>
          <w:rtl w:val="0"/>
        </w:rPr>
        <w:t>Tổ chức, cá nhân có hoạt động liên quan đến quản lý chất lượng sản phẩm, hàng hóa thuộc Danh mục sản phẩm, hàng hóa có mức độ rủi ro trung bình, mức độ rủi ro cao trên lãnh thổ Việt Nam.</w:t>
      </w:r>
    </w:p>
    <w:p>
      <w:pPr>
        <w:bidi w:val="0"/>
        <w:spacing w:before="120" w:beforeAutospacing="0" w:after="280" w:afterAutospacing="1"/>
        <w:rPr>
          <w:rtl w:val="0"/>
        </w:rPr>
      </w:pPr>
      <w:bookmarkStart w:id="4" w:name="dieu_3"/>
      <w:r>
        <w:rPr>
          <w:b/>
          <w:bCs/>
          <w:rtl w:val="0"/>
        </w:rPr>
        <w:t>Điều 3. Danh mục sản phẩm, hàng hóa có mức độ rủi ro trung bình</w:t>
      </w:r>
      <w:bookmarkEnd w:id="4"/>
    </w:p>
    <w:p>
      <w:pPr>
        <w:bidi w:val="0"/>
        <w:spacing w:before="120" w:beforeAutospacing="0" w:after="280" w:afterAutospacing="1"/>
        <w:rPr>
          <w:rtl w:val="0"/>
        </w:rPr>
      </w:pPr>
      <w:r>
        <w:rPr>
          <w:rtl w:val="0"/>
        </w:rPr>
        <w:t xml:space="preserve">1. </w:t>
      </w:r>
      <w:r>
        <w:rPr>
          <w:rtl w:val="0"/>
        </w:rPr>
        <w:t>Danh mục sản phẩm, hàng hóa có mức độ rủi ro trung bình được quy định tại Phụ lục I ban hành kèm theo Thông tư này.</w:t>
      </w:r>
    </w:p>
    <w:p>
      <w:pPr>
        <w:bidi w:val="0"/>
        <w:spacing w:before="120" w:beforeAutospacing="0" w:after="280" w:afterAutospacing="1"/>
        <w:rPr>
          <w:rtl w:val="0"/>
        </w:rPr>
      </w:pPr>
      <w:r>
        <w:rPr>
          <w:rtl w:val="0"/>
        </w:rPr>
        <w:t xml:space="preserve">2. </w:t>
      </w:r>
      <w:r>
        <w:rPr>
          <w:rtl w:val="0"/>
        </w:rPr>
        <w:t>Sản phẩm, hàng hóa có mức độ rủi ro trung bình phải được tổ chức, cá nhân tự công bố tiêu chuẩn áp dụng; phải tự đánh giá hoặc do tổ chức chứng nhận được công nhận thực hiện chứng nhận phù hợp quy chuẩn kỹ thuật quốc gia tương ứng theo quy định của pháp luật về tiêu chuẩn và quy chuẩn kỹ thuật.</w:t>
      </w:r>
    </w:p>
    <w:p>
      <w:pPr>
        <w:bidi w:val="0"/>
        <w:spacing w:before="120" w:beforeAutospacing="0" w:after="280" w:afterAutospacing="1"/>
        <w:rPr>
          <w:rtl w:val="0"/>
        </w:rPr>
      </w:pPr>
      <w:bookmarkStart w:id="5" w:name="dieu_4"/>
      <w:r>
        <w:rPr>
          <w:b/>
          <w:bCs/>
          <w:rtl w:val="0"/>
        </w:rPr>
        <w:t>Điều 4. Danh mục sản phẩm, hàng hóa có mức độ rủi ro cao</w:t>
      </w:r>
      <w:bookmarkEnd w:id="5"/>
    </w:p>
    <w:p>
      <w:pPr>
        <w:bidi w:val="0"/>
        <w:spacing w:before="120" w:beforeAutospacing="0" w:after="280" w:afterAutospacing="1"/>
        <w:rPr>
          <w:rtl w:val="0"/>
        </w:rPr>
      </w:pPr>
      <w:r>
        <w:rPr>
          <w:rtl w:val="0"/>
        </w:rPr>
        <w:t xml:space="preserve">1. </w:t>
      </w:r>
      <w:r>
        <w:rPr>
          <w:rtl w:val="0"/>
        </w:rPr>
        <w:t>Danh mục sản phẩm, hàng hóa có mức độ rủi ro cao được quy định tại Phụ lục II ban hành kèm theo Thông tư này.</w:t>
      </w:r>
    </w:p>
    <w:p>
      <w:pPr>
        <w:bidi w:val="0"/>
        <w:spacing w:before="120" w:beforeAutospacing="0" w:after="280" w:afterAutospacing="1"/>
        <w:rPr>
          <w:rtl w:val="0"/>
        </w:rPr>
      </w:pPr>
      <w:r>
        <w:rPr>
          <w:rtl w:val="0"/>
        </w:rPr>
        <w:t xml:space="preserve">2. </w:t>
      </w:r>
      <w:r>
        <w:rPr>
          <w:rtl w:val="0"/>
        </w:rPr>
        <w:t>Sản phẩm, hàng hóa có mức độ rủi ro cao được xếp vào danh mục hàng hoá phải kiểm tra chuyên ngành trước thông quan theo quy định của pháp luật hải quan; phải được tổ chức, cá nhân tự công bố tiêu chuẩn áp dụng và do tổ chức chứng nhận được chỉ định thực hiện chứng nhận phù hợp quy chuẩn kỹ thuật quốc gia tương ứng theo quy định của pháp luật về tiêu chuẩn và quy chuẩn kỹ thuật.</w:t>
      </w:r>
    </w:p>
    <w:p>
      <w:pPr>
        <w:bidi w:val="0"/>
        <w:spacing w:before="120" w:beforeAutospacing="0" w:after="280" w:afterAutospacing="1"/>
        <w:rPr>
          <w:rtl w:val="0"/>
        </w:rPr>
      </w:pPr>
      <w:bookmarkStart w:id="6" w:name="dieu_5"/>
      <w:r>
        <w:rPr>
          <w:b/>
          <w:bCs/>
          <w:rtl w:val="0"/>
        </w:rPr>
        <w:t>Điều 5. Nguyên tắc quản lý chất lượng, sản phẩm hàng hóa có mức độ rủi ro trung bình, mức độ rủi ro cao</w:t>
      </w:r>
      <w:bookmarkEnd w:id="6"/>
    </w:p>
    <w:p>
      <w:pPr>
        <w:bidi w:val="0"/>
        <w:spacing w:before="120" w:beforeAutospacing="0" w:after="280" w:afterAutospacing="1"/>
        <w:rPr>
          <w:rtl w:val="0"/>
        </w:rPr>
      </w:pPr>
      <w:r>
        <w:rPr>
          <w:rtl w:val="0"/>
        </w:rPr>
        <w:t>1. Việc quản lý sản phẩm, hàng hóa thuộc Danh mục sản phẩm hàng hóa có mức độ rủi ro trung bình, mức độ rủi ro cao được thực hiện theo quy định của pháp luật về Chất lượng sản phẩm, hàng hóa, các quy chuẩn kỹ thuật tương ứng và các văn bản pháp luật chuyên ngành có liên quan.</w:t>
      </w:r>
    </w:p>
    <w:p>
      <w:pPr>
        <w:bidi w:val="0"/>
        <w:spacing w:before="120" w:beforeAutospacing="0" w:after="280" w:afterAutospacing="1"/>
        <w:rPr>
          <w:rtl w:val="0"/>
        </w:rPr>
      </w:pPr>
      <w:r>
        <w:rPr>
          <w:rtl w:val="0"/>
        </w:rPr>
        <w:t xml:space="preserve">2. </w:t>
      </w:r>
      <w:r>
        <w:rPr>
          <w:rtl w:val="0"/>
        </w:rPr>
        <w:t>Trường hợp hàng hóa thuộc các Danh mục ban hành kèm theo Thông tư này chưa được liệt kê mã số HS hoặc có sự khác biệt, không thống nhất giữa mã số HS trong Danh mục với mã số HS được xác định theo quy định của pháp luật về hải quan thì việc xác định mã số HS thực hiện theo pháp luật về hải quan. Cơ quan kiểm tra nhà nước, tổ chức đánh giá sự phù hợp căn cứ vào bản chất, thành phần, công dụng của hàng hóa để thực hiện các biện pháp quản lý chất lượng theo quy định tại Thông tư này.</w:t>
      </w:r>
    </w:p>
    <w:p>
      <w:pPr>
        <w:bidi w:val="0"/>
        <w:spacing w:before="120" w:beforeAutospacing="0" w:after="280" w:afterAutospacing="1"/>
        <w:rPr>
          <w:rtl w:val="0"/>
        </w:rPr>
      </w:pPr>
      <w:bookmarkStart w:id="7" w:name="dieu_6"/>
      <w:r>
        <w:rPr>
          <w:b/>
          <w:bCs/>
          <w:rtl w:val="0"/>
        </w:rPr>
        <w:t>Điều 6. Hiệu lực thi hành</w:t>
      </w:r>
      <w:bookmarkEnd w:id="7"/>
    </w:p>
    <w:p>
      <w:pPr>
        <w:bidi w:val="0"/>
        <w:spacing w:before="120" w:beforeAutospacing="0" w:after="280" w:afterAutospacing="1"/>
        <w:rPr>
          <w:rtl w:val="0"/>
        </w:rPr>
      </w:pPr>
      <w:r>
        <w:rPr>
          <w:rtl w:val="0"/>
        </w:rPr>
        <w:t xml:space="preserve">1. </w:t>
      </w:r>
      <w:r>
        <w:rPr>
          <w:rtl w:val="0"/>
        </w:rPr>
        <w:t>Thông tư này có hiệu lực thi hành kể từ ngày 01 tháng 7 năm 2026.</w:t>
      </w:r>
    </w:p>
    <w:p>
      <w:pPr>
        <w:bidi w:val="0"/>
        <w:spacing w:before="120" w:beforeAutospacing="0" w:after="280" w:afterAutospacing="1"/>
        <w:rPr>
          <w:rtl w:val="0"/>
        </w:rPr>
      </w:pPr>
      <w:r>
        <w:rPr>
          <w:rtl w:val="0"/>
        </w:rPr>
        <w:t xml:space="preserve">2. </w:t>
      </w:r>
      <w:r>
        <w:rPr>
          <w:rtl w:val="0"/>
        </w:rPr>
        <w:t>Thông tư số 16/2021/TT-BNNPTNT ngày 20 tháng 12 năm 2021 của Bộ trưởng Bộ Nông nghiệp và Phát triển nông thôn ban hành danh mục sản phẩm, hàng hóa có khả năng gây mất an toàn thuộc trách nhiệm quản lý của Bộ Nông nghiệp và Phát triển nông thôn hết hiệu lực thi hành kể từ ngày Thông tư này có hiệu lực thi hành.</w:t>
      </w:r>
    </w:p>
    <w:p>
      <w:pPr>
        <w:bidi w:val="0"/>
        <w:spacing w:before="120" w:beforeAutospacing="0" w:after="280" w:afterAutospacing="1"/>
        <w:rPr>
          <w:rtl w:val="0"/>
        </w:rPr>
      </w:pPr>
      <w:r>
        <w:rPr>
          <w:rtl w:val="0"/>
        </w:rPr>
        <w:t xml:space="preserve">3. </w:t>
      </w:r>
      <w:r>
        <w:rPr>
          <w:rtl w:val="0"/>
        </w:rPr>
        <w:t>Bãi bỏ các quy định về kiểm tra chất lượng đối với sản phẩm, hàng hóa tại Phụ lục II và Phụ lục III ban hành kèm theo Thông tư số 01/2024/TT- BNNPTNT ngày 02 tháng 01 năm 2024 của Bộ trưởng Bộ Nông nghiệp và Phát triển nông thôn Ban hành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w:t>
      </w:r>
    </w:p>
    <w:p>
      <w:pPr>
        <w:bidi w:val="0"/>
        <w:spacing w:before="120" w:beforeAutospacing="0" w:after="280" w:afterAutospacing="1"/>
        <w:rPr>
          <w:rtl w:val="0"/>
        </w:rPr>
      </w:pPr>
      <w:r>
        <w:rPr>
          <w:rtl w:val="0"/>
        </w:rPr>
        <w:t xml:space="preserve">4. </w:t>
      </w:r>
      <w:r>
        <w:rPr>
          <w:rtl w:val="0"/>
        </w:rPr>
        <w:t xml:space="preserve">Bãi bỏ các nội dung quy định liên quan đến kiểm tra chất lượng muối công nghiệp nhập khẩu tại </w:t>
      </w:r>
      <w:bookmarkStart w:id="8" w:name="dc_1"/>
      <w:r>
        <w:rPr>
          <w:rtl w:val="0"/>
        </w:rPr>
        <w:t>Điều 1; khoản 1, điểm a khoản 3 Điều 2; khoản 1 Điều 5</w:t>
      </w:r>
      <w:bookmarkEnd w:id="8"/>
      <w:r>
        <w:rPr>
          <w:rtl w:val="0"/>
        </w:rPr>
        <w:t xml:space="preserve">; </w:t>
      </w:r>
      <w:bookmarkStart w:id="9" w:name="dc_2"/>
      <w:r>
        <w:rPr>
          <w:rtl w:val="0"/>
        </w:rPr>
        <w:t>Điều 6; khoản 1 Điều 8 Thông tư số 39/2018/TT-BNNPTNT</w:t>
      </w:r>
      <w:bookmarkEnd w:id="9"/>
      <w:r>
        <w:rPr>
          <w:rtl w:val="0"/>
        </w:rPr>
        <w:t xml:space="preserve"> ngày 27/12/2018 của Bộ trưởng Bộ Nông nghiệp và Phát triển nông thôn hướng dẫn kiểm tra chất lượng, an toàn thực phẩm muối nhập khẩu thuộc trách nhiệm quản lý của Bộ Nông nghiệp và Phát triển nông thôn.</w:t>
      </w:r>
    </w:p>
    <w:p>
      <w:pPr>
        <w:bidi w:val="0"/>
        <w:spacing w:before="120" w:beforeAutospacing="0" w:after="280" w:afterAutospacing="1"/>
        <w:rPr>
          <w:rtl w:val="0"/>
        </w:rPr>
      </w:pPr>
      <w:bookmarkStart w:id="10" w:name="dieu_7"/>
      <w:r>
        <w:rPr>
          <w:b/>
          <w:bCs/>
          <w:rtl w:val="0"/>
        </w:rPr>
        <w:t>Điều 7. Điều khoản chuyển tiếp</w:t>
      </w:r>
      <w:bookmarkEnd w:id="10"/>
    </w:p>
    <w:p>
      <w:pPr>
        <w:bidi w:val="0"/>
        <w:spacing w:before="120" w:beforeAutospacing="0" w:after="280" w:afterAutospacing="1"/>
        <w:rPr>
          <w:rtl w:val="0"/>
        </w:rPr>
      </w:pPr>
      <w:r>
        <w:rPr>
          <w:rtl w:val="0"/>
        </w:rPr>
        <w:t xml:space="preserve">1. </w:t>
      </w:r>
      <w:r>
        <w:rPr>
          <w:rtl w:val="0"/>
        </w:rPr>
        <w:t>Giấy chứng nhận hợp quy, Thông báo tiếp nhận bản công bố hợp quy đã được cấp cho sản phẩm, hàng hóa thuộc phạm vi điều chỉnh Thông tư này đến trước ngày Thông tư này có hiệu lực thi hành vẫn còn giá trị sử dụng cho đến hết thời hạn ghi trong Giấy chứng nhận hợp quy, Thông báo tiếp nhận bản công bố hợp quy.</w:t>
      </w:r>
    </w:p>
    <w:p>
      <w:pPr>
        <w:bidi w:val="0"/>
        <w:spacing w:before="120" w:beforeAutospacing="0" w:after="280" w:afterAutospacing="1"/>
        <w:rPr>
          <w:rtl w:val="0"/>
        </w:rPr>
      </w:pPr>
      <w:r>
        <w:rPr>
          <w:rtl w:val="0"/>
        </w:rPr>
        <w:t xml:space="preserve">2. </w:t>
      </w:r>
      <w:r>
        <w:rPr>
          <w:rtl w:val="0"/>
        </w:rPr>
        <w:t>Các hồ sơ đăng ký chứng nhận hợp quy đã được tiếp nhận trước ngày 01 tháng 7 năm 2026 nhưng chưa được giải quyết xong thì tiếp tục được thực hiện theo quy định của pháp luật tại thời điểm tiếp nhận hồ sơ.</w:t>
      </w:r>
    </w:p>
    <w:p>
      <w:pPr>
        <w:bidi w:val="0"/>
        <w:spacing w:before="120" w:beforeAutospacing="0" w:after="280" w:afterAutospacing="1"/>
        <w:rPr>
          <w:rtl w:val="0"/>
        </w:rPr>
      </w:pPr>
      <w:r>
        <w:rPr>
          <w:rtl w:val="0"/>
        </w:rPr>
        <w:t>3. Các tổ chức đánh giá sự phù hợp đã được chỉ định thực hiện đánh giá sự phù hợp đối với sản phẩm, hàng hóa nhóm 2 thuộc trách nhiệm quản lý của Bộ Nông nghiệp và Môi trường và quyết định chỉ định còn hiệu lực thì được tiếp tục thực hiện đánh giá sự phù hợp đối với sản phẩm, hàng hóa có mức độ rủi ro trung bình, mức độ rủi ro cao theo quy định tại Thông tư này cho đến hết thời hạn hiệu lực của quyết định chỉ định.</w:t>
      </w:r>
    </w:p>
    <w:p>
      <w:pPr>
        <w:bidi w:val="0"/>
        <w:spacing w:before="120" w:beforeAutospacing="0" w:after="280" w:afterAutospacing="1"/>
        <w:rPr>
          <w:rtl w:val="0"/>
        </w:rPr>
      </w:pPr>
      <w:bookmarkStart w:id="11" w:name="dieu_8"/>
      <w:r>
        <w:rPr>
          <w:b/>
          <w:bCs/>
          <w:rtl w:val="0"/>
        </w:rPr>
        <w:t>Điều 8. Tổ chức thực hiện</w:t>
      </w:r>
      <w:bookmarkEnd w:id="11"/>
    </w:p>
    <w:p>
      <w:pPr>
        <w:bidi w:val="0"/>
        <w:spacing w:before="120" w:beforeAutospacing="0" w:after="280" w:afterAutospacing="1"/>
        <w:rPr>
          <w:rtl w:val="0"/>
        </w:rPr>
      </w:pPr>
      <w:r>
        <w:rPr>
          <w:rtl w:val="0"/>
        </w:rPr>
        <w:t xml:space="preserve">1. </w:t>
      </w:r>
      <w:r>
        <w:rPr>
          <w:rtl w:val="0"/>
        </w:rPr>
        <w:t>Chánh Văn phòng Bộ, Cục trưởng các Cục: Chất lượng, Chế biến và Phát triển thị trường; Chăn nuôi và Thú y; Trồng trọt và Bảo vệ thực vật; Lâm nghiệp và Kiểm lâm; Kinh tế hợp tác và Phát triển nông thôn; Thủy sản và Kiểm ngư; Thủ trưởng các cơ quan, đơn vị thuộc Bộ Nông nghiệp và Môi trường và các cơ quan, tổ chức, cá nhân có liên quan chịu trách nhiệm thi hành Thông tư này.</w:t>
      </w:r>
    </w:p>
    <w:p>
      <w:pPr>
        <w:bidi w:val="0"/>
        <w:spacing w:before="120" w:beforeAutospacing="0" w:after="280" w:afterAutospacing="1"/>
        <w:rPr>
          <w:rtl w:val="0"/>
        </w:rPr>
      </w:pPr>
      <w:r>
        <w:rPr>
          <w:rtl w:val="0"/>
        </w:rPr>
        <w:t xml:space="preserve">2. </w:t>
      </w:r>
      <w:r>
        <w:rPr>
          <w:rtl w:val="0"/>
        </w:rPr>
        <w:t>Căn cứ tình hình thực tế và yêu cầu quản lý, bao gồm trường hợp phát sinh sản phẩm, công nghệ mới hoặc cảnh báo trong nước, quốc tế về rủi ro sản phẩm, hàng hóa, Cục quản lý chuyên ngành chủ trì, phối hợp với các cơ quan, tổ chức liên quan rà soát, đề xuất cập nhật, bổ sung Danh mục sản phẩm, hàng hóa có mức độ rủi ro trung bình, mức độ rủi ro cao thuộc phạm vi quản lý.</w:t>
      </w:r>
    </w:p>
    <w:p>
      <w:pPr>
        <w:bidi w:val="0"/>
        <w:spacing w:before="120" w:beforeAutospacing="0" w:after="280" w:afterAutospacing="1"/>
        <w:rPr>
          <w:rtl w:val="0"/>
        </w:rPr>
      </w:pPr>
      <w:r>
        <w:rPr>
          <w:rtl w:val="0"/>
        </w:rPr>
        <w:t xml:space="preserve">3. </w:t>
      </w:r>
      <w:r>
        <w:rPr>
          <w:rtl w:val="0"/>
        </w:rPr>
        <w:t>Các Cục quản lý chuyên ngành thuộc Bộ Nông nghiệp và Môi trường tổ chức hướng dẫn việc thực hiện Thông tư này đối với sản phẩm, hàng hóa thuộc phạm vi quản lý; rà soát, đề xuất ban hành mới, sửa đổi, bổ sung hoặc thay thế quy chuẩn kỹ thuật quốc gia theo lộ trình phù hợp, bảo đảm yêu cầu quản lý chất lượng tương ứng với mức độ rủi ro của sản phẩm, hàng hóa.</w:t>
      </w:r>
    </w:p>
    <w:p>
      <w:pPr>
        <w:bidi w:val="0"/>
        <w:spacing w:before="120" w:beforeAutospacing="0" w:after="280" w:afterAutospacing="1"/>
        <w:rPr>
          <w:rtl w:val="0"/>
        </w:rPr>
      </w:pPr>
      <w:r>
        <w:rPr>
          <w:rtl w:val="0"/>
        </w:rPr>
        <w:t xml:space="preserve">4. </w:t>
      </w:r>
      <w:r>
        <w:rPr>
          <w:rtl w:val="0"/>
        </w:rPr>
        <w:t>Sở Nông nghiệp và Môi trường các tỉnh, thành phố trực thuộc Trung ương có trách nhiệm tổ chức tuyên truyền, phổ biến, hướng dẫn các tổ chức, cá nhân sản xuất, kinh doanh trên địa bàn thực hiện Thông tư này; thực hiện việc quản lý, kiểm tra chất lượng sản phẩm, hàng hóa thuộc Danh mục sản phẩm, hàng hóa có mức độ rủi ro trung bình, mức độ rủi ro cao theo quy định của pháp luật.</w:t>
      </w:r>
    </w:p>
    <w:p>
      <w:pPr>
        <w:bidi w:val="0"/>
        <w:spacing w:before="120" w:beforeAutospacing="0" w:after="280" w:afterAutospacing="1"/>
        <w:rPr>
          <w:rtl w:val="0"/>
        </w:rPr>
      </w:pPr>
      <w:r>
        <w:rPr>
          <w:rtl w:val="0"/>
        </w:rPr>
        <w:t xml:space="preserve">5. </w:t>
      </w:r>
      <w:r>
        <w:rPr>
          <w:rtl w:val="0"/>
        </w:rPr>
        <w:t>Trong quá trình áp dụng Thông tư này, tổ chức, cá nhân kịp thời phản ánh khó khăn, vướng mắc về Bộ Nông nghiệp và Môi trường để được xem xét, hướng dẫn./.</w:t>
      </w:r>
    </w:p>
    <w:p>
      <w:pPr>
        <w:bidi w:val="0"/>
        <w:spacing w:before="120" w:beforeAutospacing="0" w:after="280" w:afterAutospacing="1"/>
        <w:rPr>
          <w:rtl w:val="0"/>
        </w:rPr>
      </w:pPr>
      <w:r>
        <w:rPr>
          <w:b/>
          <w:bCs/>
          <w:i/>
          <w:iCs/>
          <w:rtl w:val="0"/>
        </w:rPr>
        <w:t> </w:t>
      </w:r>
    </w:p>
    <w:tbl>
      <w:tblPr>
        <w:tblW w:w="5000" w:type="pct"/>
        <w:jc w:val="left"/>
        <w:tblCellMar>
          <w:top w:w="0" w:type="dxa"/>
          <w:left w:w="0" w:type="dxa"/>
          <w:bottom w:w="0" w:type="dxa"/>
          <w:right w:w="0" w:type="dxa"/>
        </w:tblCellMar>
      </w:tblPr>
      <w:tblGrid>
        <w:gridCol w:w="4303"/>
        <w:gridCol w:w="4337"/>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Thủ tướng Chính phủ và các Phó Thủ tướng Chính phủ;</w:t>
            </w:r>
            <w:r>
              <w:rPr>
                <w:rtl w:val="0"/>
              </w:rPr>
              <w:br/>
            </w:r>
            <w:r>
              <w:rPr>
                <w:rtl w:val="0"/>
              </w:rPr>
              <w:t>- Văn phòng Chính phủ;</w:t>
            </w:r>
            <w:r>
              <w:rPr>
                <w:rtl w:val="0"/>
              </w:rPr>
              <w:br/>
            </w:r>
            <w:r>
              <w:rPr>
                <w:rtl w:val="0"/>
              </w:rPr>
              <w:t>- Các bộ, cơ quan ngang bộ, cơ quan thuộc Chính phủ;</w:t>
            </w:r>
            <w:r>
              <w:rPr>
                <w:rtl w:val="0"/>
              </w:rPr>
              <w:br/>
            </w:r>
            <w:r>
              <w:rPr>
                <w:rtl w:val="0"/>
              </w:rPr>
              <w:t>- UBND các tỉnh, thành phố;</w:t>
            </w:r>
            <w:r>
              <w:rPr>
                <w:rtl w:val="0"/>
              </w:rPr>
              <w:br/>
            </w:r>
            <w:r>
              <w:rPr>
                <w:rtl w:val="0"/>
              </w:rPr>
              <w:t>- Bộ Nông nghiệp và Môi trường: Bộ trưởng, các Thứ trưởng, các đơn vị thuộc Bộ, Cổng thông tin điện tử Bộ;</w:t>
            </w:r>
            <w:r>
              <w:rPr>
                <w:rtl w:val="0"/>
              </w:rPr>
              <w:br/>
            </w:r>
            <w:r>
              <w:rPr>
                <w:rtl w:val="0"/>
              </w:rPr>
              <w:t>- Cục Kiểm tra văn bản và Tổ chức thi hành pháp luật (Bộ Tư pháp);</w:t>
            </w:r>
            <w:r>
              <w:rPr>
                <w:rtl w:val="0"/>
              </w:rPr>
              <w:br/>
            </w:r>
            <w:r>
              <w:rPr>
                <w:rtl w:val="0"/>
              </w:rPr>
              <w:t>- Công báo; Cổng thông tin điện tử Chính phủ;</w:t>
            </w:r>
            <w:r>
              <w:rPr>
                <w:rtl w:val="0"/>
              </w:rPr>
              <w:br/>
            </w:r>
            <w:r>
              <w:rPr>
                <w:rtl w:val="0"/>
              </w:rPr>
              <w:t>- Sở Nông nghiệp và Môi trường các tỉnh, thành phố;</w:t>
            </w:r>
            <w:r>
              <w:rPr>
                <w:rtl w:val="0"/>
              </w:rPr>
              <w:br/>
            </w:r>
            <w:r>
              <w:rPr>
                <w:rtl w:val="0"/>
              </w:rPr>
              <w:t>- Lưu: VT, CCPT.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w:t>
            </w:r>
            <w:r>
              <w:rPr>
                <w:rtl w:val="0"/>
              </w:rPr>
              <w:t xml:space="preserve"> </w:t>
            </w:r>
            <w:r>
              <w:rPr>
                <w:b/>
                <w:bCs/>
                <w:rtl w:val="0"/>
              </w:rPr>
              <w:t xml:space="preserve">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Võ Văn Hưng</w:t>
            </w:r>
          </w:p>
        </w:tc>
      </w:tr>
    </w:tbl>
    <w:p>
      <w:pPr>
        <w:rPr>
          <w:rtl w:val="0"/>
        </w:rPr>
      </w:pPr>
      <w:r>
        <w:rPr>
          <w:rFonts w:ascii="Times New Roman" w:eastAsia="Times New Roman" w:hAnsi="Times New Roman" w:cs="Times New Roman"/>
          <w:b/>
          <w:bCs/>
          <w:i/>
          <w:iCs/>
          <w:sz w:val="20"/>
          <w:rtl w:val="0"/>
        </w:rPr>
        <w:br w:type="page"/>
      </w:r>
    </w:p>
    <w:p>
      <w:pPr>
        <w:bidi w:val="0"/>
        <w:spacing w:before="120" w:beforeAutospacing="0" w:after="280" w:afterAutospacing="1"/>
        <w:jc w:val="center"/>
        <w:rPr>
          <w:rtl w:val="0"/>
        </w:rPr>
      </w:pPr>
      <w:bookmarkStart w:id="12" w:name="chuong_pl_1"/>
      <w:r>
        <w:rPr>
          <w:b/>
          <w:bCs/>
          <w:sz w:val="24"/>
          <w:rtl w:val="0"/>
        </w:rPr>
        <w:t>PHỤ LỤC I</w:t>
      </w:r>
      <w:bookmarkEnd w:id="12"/>
    </w:p>
    <w:p>
      <w:pPr>
        <w:bidi w:val="0"/>
        <w:spacing w:before="120" w:beforeAutospacing="0" w:after="280" w:afterAutospacing="1"/>
        <w:jc w:val="center"/>
        <w:rPr>
          <w:rtl w:val="0"/>
        </w:rPr>
      </w:pPr>
      <w:bookmarkStart w:id="13" w:name="chuong_pl_1_name"/>
      <w:r>
        <w:rPr>
          <w:rtl w:val="0"/>
        </w:rPr>
        <w:t>DANH MỤC SẢN PHẨM, HÀNG HÓA CÓ MỨC ĐỘ RỦI RO TRUNG BÌNH THUỘC TRÁCH NHIỆM QUẢN LÝ CỦA BỘ NÔNG NGHIỆP VÀ MÔI TRƯỜNG</w:t>
      </w:r>
      <w:bookmarkEnd w:id="13"/>
      <w:r>
        <w:rPr>
          <w:rtl w:val="0"/>
        </w:rPr>
        <w:br/>
      </w:r>
      <w:r>
        <w:rPr>
          <w:i/>
          <w:iCs/>
          <w:rtl w:val="0"/>
        </w:rPr>
        <w:t>(Ban hành kèm theo Thông tư số 27/2026/TT-BNNMT</w:t>
      </w:r>
      <w:r>
        <w:rPr>
          <w:rtl w:val="0"/>
        </w:rPr>
        <w:t xml:space="preserve"> </w:t>
      </w:r>
      <w:r>
        <w:rPr>
          <w:i/>
          <w:iCs/>
          <w:rtl w:val="0"/>
        </w:rPr>
        <w:t>ngày 30</w:t>
      </w:r>
      <w:r>
        <w:rPr>
          <w:rtl w:val="0"/>
        </w:rPr>
        <w:t xml:space="preserve"> </w:t>
      </w:r>
      <w:r>
        <w:rPr>
          <w:i/>
          <w:iCs/>
          <w:rtl w:val="0"/>
        </w:rPr>
        <w:t>tháng 06</w:t>
      </w:r>
      <w:r>
        <w:rPr>
          <w:rtl w:val="0"/>
        </w:rPr>
        <w:t xml:space="preserve"> </w:t>
      </w:r>
      <w:r>
        <w:rPr>
          <w:i/>
          <w:iCs/>
          <w:rtl w:val="0"/>
        </w:rPr>
        <w:t>năm 2026 của Bộ trưởng Bộ Nông nghiệp và Môi trường)</w:t>
      </w:r>
    </w:p>
    <w:tbl>
      <w:tblPr>
        <w:tblW w:w="5000" w:type="pct"/>
        <w:jc w:val="left"/>
        <w:tblCellMar>
          <w:top w:w="0" w:type="dxa"/>
          <w:left w:w="0" w:type="dxa"/>
          <w:bottom w:w="0" w:type="dxa"/>
          <w:right w:w="0" w:type="dxa"/>
        </w:tblCellMar>
      </w:tblPr>
      <w:tblGrid>
        <w:gridCol w:w="700"/>
        <w:gridCol w:w="2490"/>
        <w:gridCol w:w="1167"/>
        <w:gridCol w:w="2167"/>
        <w:gridCol w:w="2117"/>
      </w:tblGrid>
      <w:tr>
        <w:tblPrEx>
          <w:tblW w:w="5000" w:type="pct"/>
          <w:jc w:val="left"/>
          <w:tblCellMar>
            <w:top w:w="0" w:type="dxa"/>
            <w:left w:w="0" w:type="dxa"/>
            <w:bottom w:w="0" w:type="dxa"/>
            <w:right w:w="0" w:type="dxa"/>
          </w:tblCellMar>
        </w:tblPrEx>
        <w:trPr>
          <w:jc w:val="left"/>
        </w:trPr>
        <w:tc>
          <w:tcPr>
            <w:tcW w:w="337"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159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sản phẩm/hàng hóa</w:t>
            </w:r>
          </w:p>
        </w:tc>
        <w:tc>
          <w:tcPr>
            <w:tcW w:w="48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Mã</w:t>
            </w:r>
            <w:r>
              <w:rPr>
                <w:rtl w:val="0"/>
              </w:rPr>
              <w:t xml:space="preserve"> </w:t>
            </w:r>
            <w:r>
              <w:rPr>
                <w:b/>
                <w:bCs/>
                <w:rtl w:val="0"/>
              </w:rPr>
              <w:t>HS</w:t>
            </w:r>
          </w:p>
        </w:tc>
        <w:tc>
          <w:tcPr>
            <w:tcW w:w="120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Quy chuẩn kỹ thuật áp dụng</w:t>
            </w:r>
          </w:p>
        </w:tc>
        <w:tc>
          <w:tcPr>
            <w:tcW w:w="137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Yêu cầu quản lý chất lượng tương ứng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4" w:name="dieu_1_1"/>
            <w:r>
              <w:rPr>
                <w:b/>
                <w:bCs/>
                <w:rtl w:val="0"/>
              </w:rPr>
              <w:t>1</w:t>
            </w:r>
            <w:bookmarkEnd w:id="14"/>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15" w:name="dieu_1_1_name"/>
            <w:r>
              <w:rPr>
                <w:b/>
                <w:bCs/>
                <w:rtl w:val="0"/>
              </w:rPr>
              <w:t>Giống cây trồng</w:t>
            </w:r>
            <w:bookmarkEnd w:id="15"/>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Giống lúa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1006.10.10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101:2025/BNNMT </w:t>
            </w:r>
          </w:p>
          <w:p>
            <w:pPr>
              <w:bidi w:val="0"/>
              <w:spacing w:before="120" w:beforeAutospacing="0" w:after="280" w:afterAutospacing="1"/>
              <w:rPr>
                <w:rtl w:val="0"/>
              </w:rPr>
            </w:pPr>
            <w:r>
              <w:rPr>
                <w:rtl w:val="0"/>
              </w:rPr>
              <w:t xml:space="preserve">QCVN 102: 2025/BNNMT </w:t>
            </w:r>
          </w:p>
          <w:p>
            <w:pPr>
              <w:bidi w:val="0"/>
              <w:spacing w:before="120" w:beforeAutospacing="0" w:after="0" w:afterAutospacing="0"/>
              <w:rPr>
                <w:rtl w:val="0"/>
              </w:rPr>
            </w:pPr>
            <w:r>
              <w:rPr>
                <w:rtl w:val="0"/>
              </w:rPr>
              <w:t>QCVN 103: 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Công bố phù hợp quy chuẩn kỹ thuật tương ứng dựa trên: Kết quả chứng nhận hợp quy của tổ chức chứng nhận được công nhận hoặc được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rtl w:val="0"/>
              </w:rPr>
              <w:t>- Phương thức đánh giá sự phù hợp: Áp dụng theo phương thức 7 quy định tại Thông tư 14/2026/TT-BKHCN.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Giống ngô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1005.10.00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104:2025/BNNMT </w:t>
            </w:r>
          </w:p>
          <w:p>
            <w:pPr>
              <w:bidi w:val="0"/>
              <w:spacing w:before="120" w:beforeAutospacing="0" w:after="0" w:afterAutospacing="0"/>
              <w:rPr>
                <w:rtl w:val="0"/>
              </w:rPr>
            </w:pPr>
            <w:r>
              <w:rPr>
                <w:rtl w:val="0"/>
              </w:rPr>
              <w:t>QCVN 105: 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Công bố phù hợp quy chuẩn kỹ thuật tương ứng dựa trên: Kết quả chứng nhận hợp quy của tổ chức chứng nhận được công nhận hoặc được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rtl w:val="0"/>
              </w:rPr>
              <w:t xml:space="preserve">- </w:t>
            </w:r>
            <w:r>
              <w:rPr>
                <w:rtl w:val="0"/>
              </w:rPr>
              <w:t>Phương thức đánh giá sự phù hợp: Áp dụng theo phương thức 7 quy định tại Thông tư 14/2026/TT-BKHCN.</w:t>
            </w:r>
          </w:p>
          <w:p>
            <w:pPr>
              <w:bidi w:val="0"/>
              <w:spacing w:before="120" w:beforeAutospacing="0" w:after="0" w:afterAutospacing="0"/>
              <w:rPr>
                <w:rtl w:val="0"/>
              </w:rPr>
            </w:pPr>
            <w:r>
              <w:rPr>
                <w:rtl w:val="0"/>
              </w:rPr>
              <w:t xml:space="preserve">- </w:t>
            </w:r>
            <w:r>
              <w:rPr>
                <w:rtl w:val="0"/>
              </w:rPr>
              <w:t>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6" w:name="dieu_2_1"/>
            <w:r>
              <w:rPr>
                <w:b/>
                <w:bCs/>
                <w:rtl w:val="0"/>
              </w:rPr>
              <w:t>2</w:t>
            </w:r>
            <w:bookmarkEnd w:id="16"/>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17" w:name="dieu_2_1_name"/>
            <w:r>
              <w:rPr>
                <w:b/>
                <w:bCs/>
                <w:rtl w:val="0"/>
              </w:rPr>
              <w:t>Phân bón</w:t>
            </w:r>
            <w:bookmarkEnd w:id="17"/>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106:2025/BNNMT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Công bố phù hợp quy chuẩn kỹ thuật tương ứng dựa trên: Kết quả chứng nhận hợp quy của tổ chức chứng nhận được công nhận hoặc được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rtl w:val="0"/>
              </w:rPr>
              <w:t xml:space="preserve">- </w:t>
            </w:r>
            <w:r>
              <w:rPr>
                <w:rtl w:val="0"/>
              </w:rPr>
              <w:t>Phương thức đánh giá sự phù hợp: Áp dụng phương thức 5 và phương thức 7 theo Thông tư số 14/2026/TT-BKHCN.</w:t>
            </w:r>
          </w:p>
          <w:p>
            <w:pPr>
              <w:bidi w:val="0"/>
              <w:spacing w:before="120" w:beforeAutospacing="0" w:after="0" w:afterAutospacing="0"/>
              <w:rPr>
                <w:rtl w:val="0"/>
              </w:rPr>
            </w:pPr>
            <w:r>
              <w:rPr>
                <w:rtl w:val="0"/>
              </w:rPr>
              <w:t xml:space="preserve">- </w:t>
            </w:r>
            <w:r>
              <w:rPr>
                <w:rtl w:val="0"/>
              </w:rPr>
              <w:t>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Phân bón gốc thực vật hoặc động vật, đã hoặc chưa pha trộn với nhau hoặc qua xử lý hóa học; phân bón sản xuất bằng cách pha trộn hoặc xử lý hóa học các sản phẩm động vật hoặc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31.01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Nguồn gốc chỉ từ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3101.00.10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Nguồn gốc từ động vật (trừ phân chim, dơi), đã qua xử lý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3101.00.92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3101.00.99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Phân khoáng hoặc phân hóa học, có chứa nitơ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31.02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Urê, có hoặc không ở trong dung dịch nước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Amoni sulphat; muối kép và hỗn hợp của amoni sulphat và amoni nitrat: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Amoni sulphat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3102.21.00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3102.29.00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Muối kép và hỗn hợp của canxi nitrat và amoni nitrat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3102.60.00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Hỗn hợp urê và amoni nitrat ở trong dung dịch nước hoặc dung dịch amoniac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3102.80.00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2.2.6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Loại khác, kể cả hỗn hợp chưa được chi tiết trong các phân nhóm trước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Phân khoáng hoặc phân hóa học, có chứa phosphat</w:t>
            </w:r>
            <w:r>
              <w:rPr>
                <w:rtl w:val="0"/>
              </w:rPr>
              <w:t xml:space="preserve"> </w:t>
            </w:r>
            <w:r>
              <w:rPr>
                <w:b/>
                <w:bCs/>
                <w:rtl w:val="0"/>
              </w:rPr>
              <w:t>(phân</w:t>
            </w:r>
            <w:r>
              <w:rPr>
                <w:rtl w:val="0"/>
              </w:rPr>
              <w:t xml:space="preserve"> </w:t>
            </w:r>
            <w:r>
              <w:rPr>
                <w:b/>
                <w:bCs/>
                <w:rtl w:val="0"/>
              </w:rPr>
              <w:t>lân)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31.03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Supephosphat: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Chứa diphosphorus pentaoxide (P2O5) từ 35% trở lên tính theo trọng lượng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3103.11.90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3103.19.90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 - Phân phosphat đã nung </w:t>
            </w:r>
            <w:r>
              <w:rPr>
                <w:vertAlign w:val="superscript"/>
                <w:rtl w:val="0"/>
              </w:rPr>
              <w:t>(SEN)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3103.90.10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Phân khoáng hoặc phân hóa học, có chứa kali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31.04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2.4.1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Kali clorua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3104.20.00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2.4.2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Kali sulphat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3104.30.00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2.4.3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3104.90.00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Phân</w:t>
            </w:r>
            <w:r>
              <w:rPr>
                <w:rtl w:val="0"/>
              </w:rPr>
              <w:t xml:space="preserve"> </w:t>
            </w:r>
            <w:r>
              <w:rPr>
                <w:b/>
                <w:bCs/>
                <w:rtl w:val="0"/>
              </w:rPr>
              <w:t>khoáng hoặc phân hóa học chứa hai hoặc ba nguyên tố cấu thành phân bón là nitơ, phospho và ka li; phân bón khác; các mặt hàng của Chương này ở dạng viên (tablet) hoặc các dạng tương tự hoặc đóng gói với trọng lượng cả bì không quá 10 kg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31.05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Các mặt hàng của Chương này ở dạng viên (tablet) hoặc các dạng tương tự hoặc đóng gói với trọng lượng cả bì không quá 10 kg: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Supephosphat và phân phosphat đã nung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3105.10.10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Phân khoáng hoặc phân hóa học có chứa hai hoặc ba trong số các nguyên tố cấu thành phân bón là nitơ, phospho và kali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3105.10.20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3105.10.90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Phân khoáng hoặc phân hóa học có chứa ba nguyên tố cấu thành phân bón là nitơ, phospho và kali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3105.20.00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Diamoni hydro orthophosphat (diamoni phosphat)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3105.30.00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Amoni dihydro orthophosphat (monoamoni phosphat) và hỗn hợp của nó với diamoni hydro orthophosphat (diamoni phosphat)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3105.40.00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Phân khoáng hoặc phân hóa học khác có chứa hai nguyên tố cấu thành phân bón là nitơ và phospho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Chứa nitrat và phosphat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3105.51.00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2.5.8</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3105.59.00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2.5.9</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Phân khoáng hoặc phân hóa học có chứa hai nguyên tố cấu thành phân bón là phospho và kali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3105.60.00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2.5.10</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18" w:name="dieu_3_1"/>
            <w:r>
              <w:rPr>
                <w:b/>
                <w:bCs/>
                <w:rtl w:val="0"/>
              </w:rPr>
              <w:t>3</w:t>
            </w:r>
            <w:bookmarkEnd w:id="18"/>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19" w:name="dieu_3_1_name"/>
            <w:r>
              <w:rPr>
                <w:b/>
                <w:bCs/>
                <w:rtl w:val="0"/>
              </w:rPr>
              <w:t>Thức ăn chăn nuôi</w:t>
            </w:r>
            <w:bookmarkEnd w:id="19"/>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hỗn hợp hoàn chỉnh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01-183:2016/BNNPTNT; </w:t>
            </w:r>
          </w:p>
          <w:p>
            <w:pPr>
              <w:bidi w:val="0"/>
              <w:spacing w:before="120" w:beforeAutospacing="0" w:after="280" w:afterAutospacing="1"/>
              <w:rPr>
                <w:rtl w:val="0"/>
              </w:rPr>
            </w:pPr>
            <w:r>
              <w:rPr>
                <w:rtl w:val="0"/>
              </w:rPr>
              <w:t xml:space="preserve">QCVN 01-183:2024/BNNPTNT; </w:t>
            </w:r>
          </w:p>
          <w:p>
            <w:pPr>
              <w:bidi w:val="0"/>
              <w:spacing w:before="120" w:beforeAutospacing="0" w:after="280" w:afterAutospacing="1"/>
              <w:rPr>
                <w:rtl w:val="0"/>
              </w:rPr>
            </w:pPr>
            <w:r>
              <w:rPr>
                <w:rtl w:val="0"/>
              </w:rPr>
              <w:t xml:space="preserve">QCVN 01 - 190:2020/BNNPTNT; </w:t>
            </w:r>
          </w:p>
          <w:p>
            <w:pPr>
              <w:bidi w:val="0"/>
              <w:spacing w:before="120" w:beforeAutospacing="0" w:after="0" w:afterAutospacing="0"/>
              <w:rPr>
                <w:rtl w:val="0"/>
              </w:rPr>
            </w:pPr>
            <w:r>
              <w:rPr>
                <w:rtl w:val="0"/>
              </w:rPr>
              <w:t>Sửa đổi 1:2021 QCVN 01- 190:2020/BNNPTNT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một trong những kết quả sau đây: Kết quả chứng nhận hợp quy của tổ chức chứng nhận được chỉ định theo quy định của pháp luật;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 </w:t>
            </w:r>
          </w:p>
          <w:p>
            <w:pPr>
              <w:bidi w:val="0"/>
              <w:spacing w:before="120" w:beforeAutospacing="0" w:after="280" w:afterAutospacing="1"/>
              <w:rPr>
                <w:rtl w:val="0"/>
              </w:rPr>
            </w:pPr>
            <w:r>
              <w:rPr>
                <w:rtl w:val="0"/>
              </w:rPr>
              <w:t xml:space="preserve">- </w:t>
            </w:r>
            <w:r>
              <w:rPr>
                <w:rtl w:val="0"/>
              </w:rPr>
              <w:t>Phương thức đánh giá sự phù hợp:</w:t>
            </w:r>
          </w:p>
          <w:p>
            <w:pPr>
              <w:bidi w:val="0"/>
              <w:spacing w:before="120" w:beforeAutospacing="0" w:after="280" w:afterAutospacing="1"/>
              <w:rPr>
                <w:rtl w:val="0"/>
              </w:rPr>
            </w:pPr>
            <w:r>
              <w:rPr>
                <w:rtl w:val="0"/>
              </w:rPr>
              <w:t xml:space="preserve">+ Đối với thức ăn chăn nuôi sản xuất trong nước áp dụng phương thức 5 theo Thông tư số 14/2026/TT-BKHCN </w:t>
            </w:r>
          </w:p>
          <w:p>
            <w:pPr>
              <w:bidi w:val="0"/>
              <w:spacing w:before="120" w:beforeAutospacing="0" w:after="280" w:afterAutospacing="1"/>
              <w:rPr>
                <w:rtl w:val="0"/>
              </w:rPr>
            </w:pPr>
            <w:r>
              <w:rPr>
                <w:rtl w:val="0"/>
              </w:rPr>
              <w:t xml:space="preserve">(Trường hợp thức ăn chăn nuôi sản xuất trong nước được sản xuất tại cơ sở sản xuất đã được cơ quan có thẩm quyền cấp Giấy chứng nhận đủ điều kiện sản xuất thức ăn chăn nuôi còn hiệu lực thì không phải đánh giá quá trình sản xuất đối với phương thức 5). </w:t>
            </w:r>
          </w:p>
          <w:p>
            <w:pPr>
              <w:bidi w:val="0"/>
              <w:spacing w:before="120" w:beforeAutospacing="0" w:after="0" w:afterAutospacing="0"/>
              <w:rPr>
                <w:rtl w:val="0"/>
              </w:rPr>
            </w:pPr>
            <w:r>
              <w:rPr>
                <w:rtl w:val="0"/>
              </w:rPr>
              <w:t>+ Đối với thức ăn chăn nuôi nhập khẩu áp dụng phương thức 7 theo Thông tư số 14/2026/TT-BKHCN.</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hỗn hợp hoàn chỉnh cho gia cầm (gà, vịt, ngan, chim cút)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hỗn hợp hoàn chỉnh cho lợn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hỗn hợp hoàn chỉnh cho chó, mèo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Thức ăn hỗn hợp hoàn chỉnh khác:</w:t>
            </w:r>
          </w:p>
          <w:p>
            <w:pPr>
              <w:bidi w:val="0"/>
              <w:spacing w:before="120" w:beforeAutospacing="0" w:after="280" w:afterAutospacing="1"/>
              <w:rPr>
                <w:rtl w:val="0"/>
              </w:rPr>
            </w:pPr>
            <w:r>
              <w:rPr>
                <w:rtl w:val="0"/>
              </w:rPr>
              <w:t xml:space="preserve">- </w:t>
            </w:r>
            <w:r>
              <w:rPr>
                <w:rtl w:val="0"/>
              </w:rPr>
              <w:t>Loại dùng cho động vật linh trưởng;</w:t>
            </w:r>
          </w:p>
          <w:p>
            <w:pPr>
              <w:bidi w:val="0"/>
              <w:spacing w:before="120" w:beforeAutospacing="0" w:after="0" w:afterAutospacing="0"/>
              <w:rPr>
                <w:rtl w:val="0"/>
              </w:rPr>
            </w:pPr>
            <w:r>
              <w:rPr>
                <w:rtl w:val="0"/>
              </w:rPr>
              <w:t xml:space="preserve">- </w:t>
            </w: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xml:space="preserve">2309.90.14 </w:t>
            </w:r>
          </w:p>
          <w:p>
            <w:pPr>
              <w:bidi w:val="0"/>
              <w:spacing w:before="120" w:beforeAutospacing="0" w:after="0" w:afterAutospacing="0"/>
              <w:jc w:val="center"/>
              <w:rPr>
                <w:rtl w:val="0"/>
              </w:rPr>
            </w:pPr>
            <w:r>
              <w:rPr>
                <w:rtl w:val="0"/>
              </w:rPr>
              <w:t>2309.90.19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đậm đặc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01-183:2016/BNNPTNT; </w:t>
            </w:r>
          </w:p>
          <w:p>
            <w:pPr>
              <w:bidi w:val="0"/>
              <w:spacing w:before="120" w:beforeAutospacing="0" w:after="280" w:afterAutospacing="1"/>
              <w:rPr>
                <w:rtl w:val="0"/>
              </w:rPr>
            </w:pPr>
            <w:r>
              <w:rPr>
                <w:rtl w:val="0"/>
              </w:rPr>
              <w:t xml:space="preserve">QCVN 01-183:2024/BNNPTNT; </w:t>
            </w:r>
          </w:p>
          <w:p>
            <w:pPr>
              <w:bidi w:val="0"/>
              <w:spacing w:before="120" w:beforeAutospacing="0" w:after="280" w:afterAutospacing="1"/>
              <w:rPr>
                <w:rtl w:val="0"/>
              </w:rPr>
            </w:pPr>
            <w:r>
              <w:rPr>
                <w:rtl w:val="0"/>
              </w:rPr>
              <w:t xml:space="preserve">QCVN 01 - 190:2020/BNNPTNT; </w:t>
            </w:r>
          </w:p>
          <w:p>
            <w:pPr>
              <w:bidi w:val="0"/>
              <w:spacing w:before="120" w:beforeAutospacing="0" w:after="0" w:afterAutospacing="0"/>
              <w:rPr>
                <w:rtl w:val="0"/>
              </w:rPr>
            </w:pPr>
            <w:r>
              <w:rPr>
                <w:rtl w:val="0"/>
              </w:rPr>
              <w:t>Sửa đổi 1:2021 QCVN 01- 190:2020/BNNPTNT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Công bố hợp quy dựa trên một trong những kết quả sau đây: Kết quả chứng nhận hợp quy của tổ chức chứng nhận được chỉ định theo quy định của pháp luật;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 </w:t>
            </w:r>
          </w:p>
          <w:p>
            <w:pPr>
              <w:bidi w:val="0"/>
              <w:spacing w:before="120" w:beforeAutospacing="0" w:after="280" w:afterAutospacing="1"/>
              <w:rPr>
                <w:rtl w:val="0"/>
              </w:rPr>
            </w:pPr>
            <w:r>
              <w:rPr>
                <w:rtl w:val="0"/>
              </w:rPr>
              <w:t xml:space="preserve">- Phương thức đánh giá sự phù hợp: </w:t>
            </w:r>
          </w:p>
          <w:p>
            <w:pPr>
              <w:bidi w:val="0"/>
              <w:spacing w:before="120" w:beforeAutospacing="0" w:after="280" w:afterAutospacing="1"/>
              <w:rPr>
                <w:rtl w:val="0"/>
              </w:rPr>
            </w:pPr>
            <w:r>
              <w:rPr>
                <w:rtl w:val="0"/>
              </w:rPr>
              <w:t xml:space="preserve">+ Đối với thức ăn chăn nuôi sản xuất trong nước áp dụng phương thức 5 theo Thông tư số 14/2026/TT-BKHCN </w:t>
            </w:r>
          </w:p>
          <w:p>
            <w:pPr>
              <w:bidi w:val="0"/>
              <w:spacing w:before="120" w:beforeAutospacing="0" w:after="280" w:afterAutospacing="1"/>
              <w:rPr>
                <w:rtl w:val="0"/>
              </w:rPr>
            </w:pPr>
            <w:r>
              <w:rPr>
                <w:rtl w:val="0"/>
              </w:rPr>
              <w:t xml:space="preserve">(Trường hợp thức ăn chăn nuôi sản xuất trong nước được sản xuất tại cơ sở sản xuất đã được cơ quan có thẩm quyền cấp Giấy chứng nhận đủ điều kiện sản xuất thức ăn chăn nuôi còn hiệu lực thì không phải đánh giá quá trình sản xuất đối với phương thức 5). </w:t>
            </w:r>
          </w:p>
          <w:p>
            <w:pPr>
              <w:bidi w:val="0"/>
              <w:spacing w:before="120" w:beforeAutospacing="0" w:after="0" w:afterAutospacing="0"/>
              <w:rPr>
                <w:rtl w:val="0"/>
              </w:rPr>
            </w:pPr>
            <w:r>
              <w:rPr>
                <w:rtl w:val="0"/>
              </w:rPr>
              <w:t>+ Đối với thức ăn chăn nuôi nhập khẩu áp dụng phương thức 7 theo Thông tư số 14/2026/TT-BKHCN.</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Thức ăn đậm đặc cho lợn, gà, chim cút, ngan, vịt; </w:t>
            </w:r>
          </w:p>
          <w:p>
            <w:pPr>
              <w:bidi w:val="0"/>
              <w:spacing w:before="120" w:beforeAutospacing="0" w:after="0" w:afterAutospacing="0"/>
              <w:rPr>
                <w:rtl w:val="0"/>
              </w:rPr>
            </w:pPr>
            <w:r>
              <w:rPr>
                <w:rtl w:val="0"/>
              </w:rPr>
              <w:t>Thức ăn đậm đặc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xml:space="preserve">2309.10.10; </w:t>
            </w:r>
          </w:p>
          <w:p>
            <w:pPr>
              <w:bidi w:val="0"/>
              <w:spacing w:before="120" w:beforeAutospacing="0" w:after="280" w:afterAutospacing="1"/>
              <w:jc w:val="center"/>
              <w:rPr>
                <w:rtl w:val="0"/>
              </w:rPr>
            </w:pPr>
            <w:r>
              <w:rPr>
                <w:rtl w:val="0"/>
              </w:rPr>
              <w:t xml:space="preserve">2309.10.90; </w:t>
            </w:r>
          </w:p>
          <w:p>
            <w:pPr>
              <w:bidi w:val="0"/>
              <w:spacing w:before="120" w:beforeAutospacing="0" w:after="280" w:afterAutospacing="1"/>
              <w:jc w:val="center"/>
              <w:rPr>
                <w:rtl w:val="0"/>
              </w:rPr>
            </w:pPr>
            <w:r>
              <w:rPr>
                <w:rtl w:val="0"/>
              </w:rPr>
              <w:t xml:space="preserve">2309.90.20; </w:t>
            </w:r>
          </w:p>
          <w:p>
            <w:pPr>
              <w:bidi w:val="0"/>
              <w:spacing w:before="120" w:beforeAutospacing="0" w:after="0" w:afterAutospacing="0"/>
              <w:jc w:val="center"/>
              <w:rPr>
                <w:rtl w:val="0"/>
              </w:rPr>
            </w:pPr>
            <w:r>
              <w:rPr>
                <w:rtl w:val="0"/>
              </w:rPr>
              <w:t>2309.90.90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tinh hỗn hợp cho bê và bò thịt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xml:space="preserve">2309.10.10; </w:t>
            </w:r>
          </w:p>
          <w:p>
            <w:pPr>
              <w:bidi w:val="0"/>
              <w:spacing w:before="120" w:beforeAutospacing="0" w:after="280" w:afterAutospacing="1"/>
              <w:jc w:val="center"/>
              <w:rPr>
                <w:rtl w:val="0"/>
              </w:rPr>
            </w:pPr>
            <w:r>
              <w:rPr>
                <w:rtl w:val="0"/>
              </w:rPr>
              <w:t xml:space="preserve">2309.10.90; </w:t>
            </w:r>
          </w:p>
          <w:p>
            <w:pPr>
              <w:bidi w:val="0"/>
              <w:spacing w:before="120" w:beforeAutospacing="0" w:after="280" w:afterAutospacing="1"/>
              <w:jc w:val="center"/>
              <w:rPr>
                <w:rtl w:val="0"/>
              </w:rPr>
            </w:pPr>
            <w:r>
              <w:rPr>
                <w:rtl w:val="0"/>
              </w:rPr>
              <w:t xml:space="preserve">2309.90.20; </w:t>
            </w:r>
          </w:p>
          <w:p>
            <w:pPr>
              <w:bidi w:val="0"/>
              <w:spacing w:before="120" w:beforeAutospacing="0" w:after="0" w:afterAutospacing="0"/>
              <w:jc w:val="center"/>
              <w:rPr>
                <w:rtl w:val="0"/>
              </w:rPr>
            </w:pPr>
            <w:r>
              <w:rPr>
                <w:rtl w:val="0"/>
              </w:rPr>
              <w:t>2309.90.90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01-183:2016/BNNPTNT; </w:t>
            </w:r>
          </w:p>
          <w:p>
            <w:pPr>
              <w:bidi w:val="0"/>
              <w:spacing w:before="120" w:beforeAutospacing="0" w:after="0" w:afterAutospacing="0"/>
              <w:rPr>
                <w:rtl w:val="0"/>
              </w:rPr>
            </w:pPr>
            <w:r>
              <w:rPr>
                <w:rtl w:val="0"/>
              </w:rPr>
              <w:t>QCVN 01-183:2024/BNNPTNT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Công bố hợp quy dựa trên một trong những kết quả sau đây: Kết quả chứng nhận hợp quy của tổ chức chứng nhận được chỉ định theo quy định của pháp luật;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 </w:t>
            </w:r>
          </w:p>
          <w:p>
            <w:pPr>
              <w:bidi w:val="0"/>
              <w:spacing w:before="120" w:beforeAutospacing="0" w:after="280" w:afterAutospacing="1"/>
              <w:rPr>
                <w:rtl w:val="0"/>
              </w:rPr>
            </w:pPr>
            <w:r>
              <w:rPr>
                <w:rtl w:val="0"/>
              </w:rPr>
              <w:t xml:space="preserve">- Phương thức đánh giá sự phù hợp: </w:t>
            </w:r>
          </w:p>
          <w:p>
            <w:pPr>
              <w:bidi w:val="0"/>
              <w:spacing w:before="120" w:beforeAutospacing="0" w:after="280" w:afterAutospacing="1"/>
              <w:rPr>
                <w:rtl w:val="0"/>
              </w:rPr>
            </w:pPr>
            <w:r>
              <w:rPr>
                <w:rtl w:val="0"/>
              </w:rPr>
              <w:t xml:space="preserve">+ Đối với thức ăn chăn nuôi sản xuất trong nước áp dụng phương thức 5 theo Thông tư số 14/2026/TT-BKHCN </w:t>
            </w:r>
          </w:p>
          <w:p>
            <w:pPr>
              <w:bidi w:val="0"/>
              <w:spacing w:before="120" w:beforeAutospacing="0" w:after="280" w:afterAutospacing="1"/>
              <w:rPr>
                <w:rtl w:val="0"/>
              </w:rPr>
            </w:pPr>
            <w:r>
              <w:rPr>
                <w:rtl w:val="0"/>
              </w:rPr>
              <w:t xml:space="preserve">(Trường hợp thức ăn chăn nuôi sản xuất trong nước được sản xuất tại cơ sở sản xuất đã được cơ quan có thẩm quyền cấp Giấy chứng nhận đủ điều kiện sản xuất thức ăn chăn nuôi còn hiệu lực thì không phải đánh giá quá trình sản xuất đối với phương thức 5). </w:t>
            </w:r>
          </w:p>
          <w:p>
            <w:pPr>
              <w:bidi w:val="0"/>
              <w:spacing w:before="120" w:beforeAutospacing="0" w:after="0" w:afterAutospacing="0"/>
              <w:rPr>
                <w:rtl w:val="0"/>
              </w:rPr>
            </w:pPr>
            <w:r>
              <w:rPr>
                <w:rtl w:val="0"/>
              </w:rPr>
              <w:t>+ Đối với thức ăn chăn nuôi nhập khẩu áp dụng phương thức 7 theo Thông tư số 14/2026/TT-BKHCN.</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bổ sung dạng đơn; Nguyên liệu đơn; thức ăn bổ sung dạng hỗn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01 - 190:2020/BNNPTNT; </w:t>
            </w:r>
          </w:p>
          <w:p>
            <w:pPr>
              <w:bidi w:val="0"/>
              <w:spacing w:before="120" w:beforeAutospacing="0" w:after="0" w:afterAutospacing="0"/>
              <w:rPr>
                <w:rtl w:val="0"/>
              </w:rPr>
            </w:pPr>
            <w:r>
              <w:rPr>
                <w:rtl w:val="0"/>
              </w:rPr>
              <w:t>Sửa đổi 1:2021 QCVN 01- 190:2020/BNNPTNT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một trong những kết quả sau đây: Kết quả chứng nhận hợp quy của tổ chức chứng nhận được chỉ định theo quy định của pháp luật;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 </w:t>
            </w:r>
          </w:p>
          <w:p>
            <w:pPr>
              <w:bidi w:val="0"/>
              <w:spacing w:before="120" w:beforeAutospacing="0" w:after="280" w:afterAutospacing="1"/>
              <w:rPr>
                <w:rtl w:val="0"/>
              </w:rPr>
            </w:pPr>
            <w:r>
              <w:rPr>
                <w:rtl w:val="0"/>
              </w:rPr>
              <w:t xml:space="preserve">- </w:t>
            </w:r>
            <w:r>
              <w:rPr>
                <w:rtl w:val="0"/>
              </w:rPr>
              <w:t>Phương thức đánh giá sự phù hợp:</w:t>
            </w:r>
          </w:p>
          <w:p>
            <w:pPr>
              <w:bidi w:val="0"/>
              <w:spacing w:before="120" w:beforeAutospacing="0" w:after="280" w:afterAutospacing="1"/>
              <w:rPr>
                <w:rtl w:val="0"/>
              </w:rPr>
            </w:pPr>
            <w:r>
              <w:rPr>
                <w:rtl w:val="0"/>
              </w:rPr>
              <w:t xml:space="preserve">+ Đối với thức ăn chăn nuôi sản xuất trong nước áp dụng phương thức 5 theo Thông tư số 14/2026/TT-BKHCN </w:t>
            </w:r>
          </w:p>
          <w:p>
            <w:pPr>
              <w:bidi w:val="0"/>
              <w:spacing w:before="120" w:beforeAutospacing="0" w:after="280" w:afterAutospacing="1"/>
              <w:rPr>
                <w:rtl w:val="0"/>
              </w:rPr>
            </w:pPr>
            <w:r>
              <w:rPr>
                <w:rtl w:val="0"/>
              </w:rPr>
              <w:t xml:space="preserve">(Trường hợp thức ăn chăn nuôi sản xuất trong nước được sản xuất tại cơ sở sản xuất đã được cơ quan có thẩm quyền cấp Giấy chứng nhận đủ điều kiện sản xuất thức ăn chăn nuôi còn hiệu lực thì không phải đánh giá quá trình sản xuất đối với phương thức 5). </w:t>
            </w:r>
          </w:p>
          <w:p>
            <w:pPr>
              <w:bidi w:val="0"/>
              <w:spacing w:before="120" w:beforeAutospacing="0" w:after="0" w:afterAutospacing="0"/>
              <w:rPr>
                <w:rtl w:val="0"/>
              </w:rPr>
            </w:pPr>
            <w:r>
              <w:rPr>
                <w:rtl w:val="0"/>
              </w:rPr>
              <w:t>+ Đối với thức ăn chăn nuôi nhập khẩu áp dụng phương thức 7 theo Thông tư số 14/2026/TT-BKHCN.</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Nhóm Vitamin, pro-vitamin, các chất có tác dụng tương tự vitamin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A và các dẫn xuất của chúng: Vitamin A (Vitamin A, Retinyl acetate, Retinyl palmitate, Retinyl propionate, beta carotene)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B1 và các dẫn xuất của nó: Vitamin B1 (Thiamine, Thiamine hydrochloride, Thiamine mononitrate)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2936.22.00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B2 và các dẫn xuất của nó: Vitamin B2 (Riboflavin, Riboflavin-5'-phosphate ester monosodium salt, Riboflavin sodium phosphate)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2936.23.00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Axit D- hoặc DL- Pantothenic (vitamin B3 hoặc vitamin B5) và các dẫn xuất của nó: Vitamin B3 (Niacin, Niacinamide, Acid nicotinic, Nicotinamide); Vitamin B5 (Pantothenic acid, Calcium-D- pantothenate, Calcium-DL-pantothenate, Calcium-L-pantothenate).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2936.24.00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Vitamin B5 (Pantothenic acid, Calcium-D-pantothenate, Calcium-DL-pantothenate, Calcium-L-pantothenate); D-panthenol</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2936.24.00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B6 và các dẫn xuất của nó: Vitamin B6 (Vitamin B6, Pyridoxamine, Pyridoxal, Pyridoxine hydrochloride).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2936.25.00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B12 và các dẫn xuất của nó: Vitamin B12 (Cyanocobalamin)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2936.26.00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C và các dẫn xuất của nó: Vitamin C (Ascorbic acid, Sodium ascorbyl phosphate, Sodium calcium ascorbyl phosphate, Calcium L-ascorbate, 6- Palmitoyl-L-ascorbic acid, Ascorbyl monophosphate calcium sodium, Ascorbyl monophosphate  sodium,  Sodium ascorbate,Sodium-Calcium-L-ascorbic acid-2-phosphate ester, L-Ascorbate monophossphate, L-Ascorbic acid-2-phosphoestermagnesium)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2936.27.00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E và các dẫn xuất của nó: Vitamin E (Vitamin E, all-rac- alpha-tocopheryl acetate, RRR-alpha- tocopheryl acetate, RRR alpha tocopherol).</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2936.28.00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Vitamin và các dẫn xuất của chúng, chưa pha trộn: Vitamin khác và các dẫn xuất của chúng: Vitamin D (25- hydroxycholecalciferol) Vitamin D2 (Ergocalciferol); </w:t>
            </w:r>
          </w:p>
          <w:p>
            <w:pPr>
              <w:bidi w:val="0"/>
              <w:spacing w:before="120" w:beforeAutospacing="0" w:after="280" w:afterAutospacing="1"/>
              <w:rPr>
                <w:rtl w:val="0"/>
              </w:rPr>
            </w:pPr>
            <w:r>
              <w:rPr>
                <w:rtl w:val="0"/>
              </w:rPr>
              <w:t xml:space="preserve">Betaine anhydrous; Betaine hydrochloride; Glycine betaine; Biotin; Choline chloride; Carnitine, L- Carnitine hydrochloride; Folate, Folic acid; Inositol; L-carnitine; L-carnitine L-tartrate; Orotic acid; Para-amino benzoic acid (PABA); </w:t>
            </w:r>
          </w:p>
          <w:p>
            <w:pPr>
              <w:bidi w:val="0"/>
              <w:spacing w:before="120" w:beforeAutospacing="0" w:after="280" w:afterAutospacing="1"/>
              <w:rPr>
                <w:rtl w:val="0"/>
              </w:rPr>
            </w:pPr>
            <w:r>
              <w:rPr>
                <w:rtl w:val="0"/>
              </w:rPr>
              <w:t xml:space="preserve">Vitamin D3 (Vitamin D3, Cholecalciferol, 25- hydroxy cholecalciferol); </w:t>
            </w:r>
          </w:p>
          <w:p>
            <w:pPr>
              <w:bidi w:val="0"/>
              <w:spacing w:before="120" w:beforeAutospacing="0" w:after="0" w:afterAutospacing="0"/>
              <w:rPr>
                <w:rtl w:val="0"/>
              </w:rPr>
            </w:pPr>
            <w:r>
              <w:rPr>
                <w:rtl w:val="0"/>
              </w:rPr>
              <w:t>Vitamin K3 (Menadione sodium bisulphite, Menadione nicotinamide bisulphite, Acetomenaphthone menadione dimethylpyrimidinol bisulfite)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2936.29.00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 Loại khác, kể cả các chất cô đặc tự nhiên.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2936.90.00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 Omega-3 Essential Unsaturated Fatty acids, Omega-6 Essential Unsaturated Fatty acids (as octadecadienoic acid), các axit béo khác (Fatty acids)</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axít amin tổng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Arginine (L-Arginine, L-Arginine Monohydrochloride)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Aspartic Acid</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Cysteine (L-Cysteine)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2930.90.90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Cystine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2930.90.90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DL-2-Hydroxy 4 - Methylthiobutanoic acid</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2930.90.90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Axit - amino, trừ loại chứa 2 chức oxy trở lên, và este của chúng; muối của chúng: Axit glutamic và muối của nó: Muối natri của axit glutamic (MSG): Glutamate (Monosodium L-glutamate)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2922.42.20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Axit - amino, trừ loại chứa 2 chức oxy trở lên, và este của chúng; muối của chúng: Axit glutamic và muối của nó: Axit Glutamic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2922.42.10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Axit - amino, trừ loại chứa 2 chức oxy trở lên, và este của chúng; muối của chúng: Loại khác: Arginine (L- Arginine, L-Arginine Monohydrochloride); Aspartic Acid; Glutamine; Glycine; Histidine (L-Histidine); Leucine (L-Leucine, Isoleucine); Phenylalanine; Valine (L-Valine)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Axit - amino, trừ loại chứa 2 chức oxy trở lên, và este của chúng; muối của chúng: Lysin và este của nó; muối của chúng: Lysine (L-Lysine, L-Lysine Monohydrochloride, L-Lysine SulCrude lipide, L-Lysine sulphate)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lưu huỳnh-hữu cơ: Methionine (DL-Methionine, L-Methionine)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2930.40.00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lưu huỳnh-hữu cơ: Loại khác: Loại khác: Methionine Hydroxy Analogue, Methionine Hydroxy  Analogue  Calcium); Cysteine (L- Cysteine); Cystine; DL-2- Hydroxy 4 - Methylthiobutanoic acid</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2930.90.90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Phenylalanine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dị vòng chỉ chứa (các) dị tố ni tơ: Loại khác: Loại khác: Proline (L-Proline)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2933.99.90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Phenol-rượu- amino, phenol-axit-amino và các hợp chất amino khác có chức oxy: p -Aminosalicylic axit và muối, este và các dẫn xuất khác của nó: Serine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2922.50.10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chức amin: Amin đơn chức mạch hở và các dẫn xuất của chúng; muối của chúng: Loại khác: Taurine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2921.19.00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Phenol-rượu- amino, phenol-axit-amino và các hợp chất amino khác có chức oxy: Loại khác: Threonine (L-Threonine); Tryptophan (DL-Tryptophan, L-Tryptophan); Tyrosine (L-Tyrosine)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2922.50.90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Valine (L-Valine)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2922.49.00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amino chức oxy: Các axit amin tổng hợp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Phosphinat (hypophosphit), phosphonat (phosphit) và phosphat; polyphosphat, đã hoặc chưa xác định về mặt hoá học: Phosphat: Canxi hydroorthophosphat (“dicanxi phosphat”): Loại dùng làm thức ăn chăn nuôi: Monocalcium Phosphate; Dicalcium Phosphate;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2835.25.10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Phosphinat (hypophosphit), phosphonat (phosphit) và phosphat; polyphosphat, đã hoặc chưa xác định về mặt hoá học: Phosphat: Canxi hydroorthophosphat (“dicanxi phosphat”): Loại dùng làm thức ăn chăn nuôi: Monocalcium Phosphate; Dicalcium Phosphate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2835.25.10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Gôm, nhựa cây, các chất nhựa và các chất chiết xuất từ thực vật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Nhựa và các chất chiết xuất từ thực vật: Từ cam thảo: Gôm, nhựa cây, các chất nhựa và các chất chiết xuất từ thực vật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1302.12.00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Nhựa và các chất chiết xuất từ thực vật: Từ hoa bia (hublong): Gôm, nhựa cây, các chất nhựa và các chất chiết xuất từ thực vật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1302.13.00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Nhựa và các chất chiết xuất từ thực vật: Loại khác: Gôm, nhựa cây, các chất nhựa và các chất chiết xuất từ thực vật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1302.19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 Chất nhầy và chất làm đặc, làm dày, đã hoặc chưa biến đổi, thu được từ các sản phẩm thực vật: Loại khác: Gôm, nhựa cây, các chất nhựa và các chất chiết xuất từ thực vật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1302.39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Men sống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Nấm men bất hoạt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Men (sống hoặc ỳ); các vi sinh đơn bào khác, chết (nhưng không bao gồm các loại vắc xin thuộc nhóm 30.02); bột nở đã pha chế: Men ỳ; các vi sinh đơn bào khác, chết: Loại dùng trong chăn nuôi động vật: Men ỳ; Các vi sinh đơn bào khác, chết (không bao gồm Nấm men bất hoạt).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2102.20.10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Men (sống hoặc ỳ); các vi sinh đơn bào khác, chết (nhưng không bao gồm các loại vắc xin thuộc nhóm 30.02); bột nở đã pha chế: Men ỳ; các vi sinh đơn bào khác, chết: Loại khác: Men ỳ; Các vi sinh đơn bào khác, chết (không bao gồm Nấm men bất hoạt).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2102.20.90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3.4.8</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Chất tổng hợp, chất bổ sung thức ăn hoặc phụ gia thức ăn </w:t>
            </w:r>
          </w:p>
          <w:p>
            <w:pPr>
              <w:bidi w:val="0"/>
              <w:spacing w:before="120" w:beforeAutospacing="0" w:after="280" w:afterAutospacing="1"/>
              <w:rPr>
                <w:rtl w:val="0"/>
              </w:rPr>
            </w:pPr>
            <w:r>
              <w:rPr>
                <w:rtl w:val="0"/>
              </w:rPr>
              <w:t xml:space="preserve">Các chế phẩm dùng trong chăn nuôi động vật </w:t>
            </w:r>
          </w:p>
          <w:p>
            <w:pPr>
              <w:bidi w:val="0"/>
              <w:spacing w:before="120" w:beforeAutospacing="0" w:after="0" w:afterAutospacing="0"/>
              <w:rPr>
                <w:rtl w:val="0"/>
              </w:rPr>
            </w:pPr>
            <w:r>
              <w:rPr>
                <w:rtl w:val="0"/>
              </w:rPr>
              <w:t>Thức ăn bổ sung dạng hỗn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Chế phẩm dùng trong chăn nuôi động vật: Thức ăn cho chó hoặc mèo, đã đóng gói để bán lẻ: Chứa thịt: Chất tổng hợp, chất bổ sung thức ăn hoặc phụ gia thức ăn; Các chế phẩm dùng trong chăn nuôi động vật; Thức ăn bổ sung dạng hỗn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2309.10.10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Chế phẩm dùng trong chăn nuôi động vật: Loại khác: Chất tổng hợp, chất bổ sung thức ăn hoặc phụ gia thức ăn: Chất tổng hợp, chất bổ sung thức ăn hoặc phụ gia thức ăn; Các chế phẩm dùng trong chăn nuôi động vật; Thức ăn bổ sung dạng hỗn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2309.10.90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Chế phẩm dùng trong chăn nuôi động vật: Loại khác: Chất tổng hợp, chất bổ sung thức ăn hoặc phụ gia thức ăn: Chất tổng hợp, chất bổ sung thức ăn hoặc phụ gia thức ăn; Các chế phẩm dùng trong chăn nuôi động vật; Thức ăn bổ sung dạng hỗn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Chế phẩm dùng trong chăn nuôi động vật: Loại khác: Chất tổng hợp, chất bổ sung thức ăn hoặc phụ gia thức ăn; Các chế phẩm dùng trong chăn nuôi động vật; Thức ăn bổ sung dạng hỗn hợp; Thức ăn đậm đặc cho lợn, gà, chim cút, ngan, vịt; Thức ăn tinh hỗn hợp cho bê và bò thịt; Thức ăn đậm đặc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3.4.9</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Đất sét khác (không kể đất sét trƣơng nở thuộc nhóm 68.06), andalusite, kyanite và sillimanite, đã hoặc chưa nung; mullite; đất chịu lửa (chamotte) hay đất dinas: Bentonite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2508.10.00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3.4.10</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Đất sét khác (không kể đất sét trƣơng nở thuộc nhóm 68.06), andalusite, kyanite và sillimanite, đã hoặc chưa nung; mullite; đất chịu lửa (chamotte) hay đất dinas: Đất sét khác: Loại khác: Khoáng sét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2508.40.90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Canxi phosphat tự nhiên, canxi phosphat nhôm tự nhiên và đá phấn có chứa phosphate: Đã nghiền: Loại khác: Canxi phosphat tự nhiên, canxi phosphat nhôm tự nhiên và đá phấn có chứa phosphate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2510.20.90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chất khoáng chưa được chi tiết hoặc ghi ở nơi khác: Vermiculite, đá trân châu và clorit, chưa giãn nở: Các chất khoáng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2530.10.00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chất khoáng chưa được chi tiết hoặc ghi ở nơi khác: Loại khác: Loại khác: Các chất khoáng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2530.90.90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Muối khác của axit vô cơ hay peroxoaxit (kể cả nhôm silicat đã hoặc chưa xác định về mặt hoá học), trừ các chất azit: Silicat kép hay phức, kể cả nhôm silicat đã hoặc chưa xác định về mặt hoá học: Các chất khoáng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2842.10.00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Hoá chất vô cơ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Hydro, khí hiếm và các phi kim loại khác: Selen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2804.90.00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Axit vô cơ khác và các hợp chất vô cơ chứa oxy khác của các phi kim loại: Hợp chất vô cơ chứa oxy khác của phi kim loại: Silic dioxit: Dạng bột: Silic dioxit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2811.22.10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Axit vô cơ khác và các hợp chất vô cơ chứa oxy khác của các phi kim loại: Hợp chất vô cơ chứa oxy khác của phi kim loại: Silic dioxit: Loại khác: Silic dioxit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2811.22.90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Kẽm oxit; kẽm peroxit: Kẽm oxit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2817.00.10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Mangan oxit: Loại khác: Mangan oxit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2820.90.00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Clorua, clorua oxit và clorua hydroxit; bromua và oxit bromua; iođua và iođua oxit: Clorua oxit và clorua hydroxit: Của đồng: Clorua oxit và clorua hydroxit của đồng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2827.41.00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Clorat và perclorat; bromat và perbromat; iodat và periodat: Clorat và perclorat; bromat và perbromat; iodat và periodat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28.29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Sulphat; phèn (alums); peroxosulphat (persulphat): Sulphat; phèn (alums); peroxosulphat (persulphat)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Phosphinat (hypophosphit), phosphonat (phosphit) và phosphat; polyphosphat, đã hoặc chưa xác định về mặt hoá học: Phosphinat (hypophosphit), phosphonat (phosphit) và phosphat; polyphosphat, đã hoặc chưa xác định về mặt hoá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Carbonat; peroxocarbonat (percarbonat); amoni carbonat thương phẩm có chứa amoni carbamat: Natri hydrocarbonat (natri bicarbonat): Hoá chất vô cơ (Các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2836.30.00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Carbonat; peroxocarbonat (percarbonat); amoni carbonat thương phẩm có chứa amoni carbamat: - Loại khác: Loại khác: Loại khác: Hoá chất vô cơ (Các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2836.99.90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Muối khác của axit vô cơ hoặc peroxoaxit (kể cả nhôm silicat đã hoặc chưa xác định về mặt hóa học), trừ các chất azit: Silicat kép hay phức, kể cả nhôm silicat đã hoặc chưa xác định về mặt hoá học: Hoá chất vô cơ (Các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2842.10.00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Hoá chất hữu cơ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Axit propionic, muối và este của nó</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2915.50.00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Axit lactic, muối và este của nó</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2918.11.00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Axit citric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2918.14.00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Cholin và muối của nó</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2923.10.00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Muối và hydroxit amoni bậc 4; lecithins và các phosphoaminolipid khác, đã hoặc chưa xác định về mặt hóa học: Lecithins và các phosphoaminolipid khác: Lecithins: Từ thực vật: Lecithins, đã hoặc chưa xác định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2923.20.11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Muối và hydroxit amoni bậc 4; lecithins và các phosphoaminolipid khác, đã hoặc chưa xác định về mặt hóa học: Lecithins và các phosphoaminolipid khác: Lecithins: Loại khác: Lecithins, đã hoặc chưa xác định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2923.20.19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hợp chất arsen - hữu cơ: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vô cơ - hữu cơ khác: Các hợp chất arsen - hữu cơ: Dạng lỏng: Các hợp chất arsen - hữu cơ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2931.90.41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vô cơ - hữu cơ khác: Các hợp chất arsen - hữu cơ: Loại khác: Các hợp chất arsen - hữu cơ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2931.90.49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Rượu mạch vòng và các dẫn xuất halogen hóa, sulphonat hóa, nitro hóa hoặc nitroso hóa của chúng: Hóa chất hữu cơ (Các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Xeton và quinon, có hoặc không có chức oxy khác, và các dẫn xuất halogen hóa, sulphonat hóa, nitro hóa hoặc nitroso hóa của chúng: Hóa chất hữu cơ (Các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Hợp chất dị vòng chỉ chứa (các) dị tố ni tơ: Hóa chất hữu cơ (Các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29.33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Supephosphat, loại dùng làm thức ăn chăn nuôi: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khoáng hoặc phân hóa học, có chứa phosphat (phân lân): Supephosphat: Chứa diphosphorus pentaoxide (P2O5 ) từ 35% trở lên tính theo trọng lượng: Loại dùng làm thức ăn chăn nuôi: Supephosphat, loại dùng làm thức ăn chăn nuôi.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3103.11.10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khoáng hoặc phân hóa học, có chứa phosphat (phân lân): Supephosphat: Loại khác: Loại dùng làm thức ăn chăn nuôi: Supephosphat, loại dùng làm thức ăn chăn nuôi.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3103.19.10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3.4.18</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tạo màu: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chiết xuất để thuộc da có nguồn gốc từ thực vật; ta nanh và các muối, ete, este và các dẫn xuất khác của chúng: Loại khác: Sản phẩm tạo màu.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3201.90.00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chất màu có nguồn gốc từ thực vật hoặc động vật (kể cả các chất chiết xuất nhuộm nhưng trừ muội than động vật), đã hoặc chưa xác định về mặt hóa học; các chế phẩm đã được ghi trong Chú giải 3 của Chương này dựa trên chất màu có nguồn gốc từ thực vật hoặc động vật: Loại khác: Sản phẩm tạo màu.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3203.00.90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màu hữu cơ tổng hợp, đã hoặc chưa xác định về mặt hóa học; các chế phẩm đã được ghi trong Chú giải 3 của Chương này dựa trên chất màu hữu cơ tổng hợp; các sản phẩm hữu cơ tổng hợp được dùng như tác nhân tăng sáng huỳnh quang hoặc như các chất phát quang, đã hoặc chưa xác định về mặt hóa học: Chất màu hữu cơ tổng hợp và các chế phẩm từ chúng như đã ghi trong Chú giải 3 của Chương này: Loại khác, kể cả hỗn hợp chất màu từ hai phân nhóm trở lên của các phân nhóm từ 3204.11 đến 3204.19: Sản phẩm tạo màu.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3204.19.00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màu hữu cơ tổng hợp, đã hoặc chưa xác định về mặt hóa học; các chế phẩm đã được ghi trong Chú giải 3 của Chương này dựa trên chất màu hữu cơ tổng hợp; các sản phẩm hữu cơ tổng hợp được dùng như tác nhân tăng sáng huỳnh quang hoặc như các chất phát quang, đã hoặc chưa xác định về mặt hóa học: Chất màu hữu cơ tổng hợp và các chế phẩm từ chúng như đã ghi trong Chú giải 3 của Chương này: Loại khác: Sản phẩm tạo màu.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3204.90.00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3.4.19</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tạo mùi: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Hỗn hợp các chất thơm và các hỗn hợp (kể cả dung dịch có cồn) với thành phần chủ yếu gồm một hoặc nhiều các chất thơm này, dùng làm nguyên liệu thô trong công nghiệp; các chế phẩm khác làm từ các chất thơm, dùng cho sản xuất đồ uống: Loại khác: Chất tạo mùi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3302.90.00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chế phẩm thực phẩm chưa được chi tiết hoặc ghi ở nơi khác: Loại khác: Loại khác: Các chế phẩm hương liệu khác: Chất tạo mùi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2106.90.98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3.4.20</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Enzym; enzym đã chế biến chưa được chi tiết hoặc ghi ở nơi khác: Enzyme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3.4.21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của các loại quả chi cam quýt: Của cam: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3301.12.00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của các loại quả chi cam quýt: Của chanh: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3301.13.00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của các loại quả chi cam quýt: Loại khác: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3301.19.00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Của cây bạc hà cay (Mantha piperita ):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3301.24.00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Của cây bạc hà khác: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3301.25.00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đàn hương: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3301.29.20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sả (citronella):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3301.29.30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đinh hương (clove):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3301.29.50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khác: Của cây sả chanh (lemon grass), quế (cinnamon), gừng (ginger), bạch đậu khấu (cardamom) hoặc thì là (fennel):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3301.29.70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Tinh dầu khác trừ tinh dầu của các loại quả chi cam quýt: Loại khá: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3301.29.90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 Loại khác: Loại khác: Tinh dầu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3301.90.90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Thức ăn truyền thống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01 - 190:2020/BNNPTNT; </w:t>
            </w:r>
          </w:p>
          <w:p>
            <w:pPr>
              <w:bidi w:val="0"/>
              <w:spacing w:before="120" w:beforeAutospacing="0" w:after="0" w:afterAutospacing="0"/>
              <w:rPr>
                <w:rtl w:val="0"/>
              </w:rPr>
            </w:pPr>
            <w:r>
              <w:rPr>
                <w:rtl w:val="0"/>
              </w:rPr>
              <w:t>Sửa đổi 1:2021 QCVN 01- 190:2020/BNNPTNT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một trong những kết quả sau đây: Kết quả chứng nhận hợp quy của tổ chức chứng nhận được chỉ định theo quy định của pháp luật;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 </w:t>
            </w:r>
          </w:p>
          <w:p>
            <w:pPr>
              <w:bidi w:val="0"/>
              <w:spacing w:before="120" w:beforeAutospacing="0" w:after="280" w:afterAutospacing="1"/>
              <w:rPr>
                <w:rtl w:val="0"/>
              </w:rPr>
            </w:pPr>
            <w:r>
              <w:rPr>
                <w:rtl w:val="0"/>
              </w:rPr>
              <w:t xml:space="preserve">- </w:t>
            </w:r>
            <w:r>
              <w:rPr>
                <w:rtl w:val="0"/>
              </w:rPr>
              <w:t xml:space="preserve">Phương thức đánh giá sự phù hợp: </w:t>
            </w:r>
          </w:p>
          <w:p>
            <w:pPr>
              <w:bidi w:val="0"/>
              <w:spacing w:before="120" w:beforeAutospacing="0" w:after="280" w:afterAutospacing="1"/>
              <w:rPr>
                <w:rtl w:val="0"/>
              </w:rPr>
            </w:pPr>
            <w:r>
              <w:rPr>
                <w:rtl w:val="0"/>
              </w:rPr>
              <w:t xml:space="preserve">+ Đối với thức ăn chăn nuôi sản xuất trong nước áp dụng phương thức 5 theo Thông tư số 14/2026/TT-BKHCN </w:t>
            </w:r>
          </w:p>
          <w:p>
            <w:pPr>
              <w:bidi w:val="0"/>
              <w:spacing w:before="120" w:beforeAutospacing="0" w:after="280" w:afterAutospacing="1"/>
              <w:rPr>
                <w:rtl w:val="0"/>
              </w:rPr>
            </w:pPr>
            <w:r>
              <w:rPr>
                <w:rtl w:val="0"/>
              </w:rPr>
              <w:t>(Trường hợp thức ăn chăn nuôi sản xuất trong nước được sản xuất tại cơ sở sản xuất đã được cơ quan có thẩm quyền cấp Giấy chứng nhận đủ điều kiện sản xuất thức ăn chăn nuôi còn hiệu lực thì không phải đánh giá quá trình sản xuất đối với phương thức 5).</w:t>
            </w:r>
          </w:p>
          <w:p>
            <w:pPr>
              <w:bidi w:val="0"/>
              <w:spacing w:before="120" w:beforeAutospacing="0" w:after="0" w:afterAutospacing="0"/>
              <w:rPr>
                <w:rtl w:val="0"/>
              </w:rPr>
            </w:pPr>
            <w:r>
              <w:rPr>
                <w:rtl w:val="0"/>
              </w:rPr>
              <w:t>+ Đối với thức ăn chăn nuôi nhập khẩu áp dụng phương thức 7 theo Thông tư số 14/2026/TT-BKHCN.</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có nguồn gốc động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có nguồn gốc thủy sản: Cá, tôm, cua, động vật giáp xác, động vật nhuyễn thể, thủy sản khác; sản phẩm, phụ phẩm từ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có nguồn gốc động vật trên cạn: Bột xương, bột thịt, bột thịt xương, bột huyết, bột lông vũ thủy phân, bột gia cầm, trứng, côn trùng, động vật không xương sống, sữa và sản phẩm từ sữa;sản phẩm, phụ phẩm khác từ động vật trên cạn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Sữa và kem, chưa cô đặc và chưa pha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Sữa và kem, đã cô đặc hoặc đã pha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Sữa chua; buttermilk, sữa đông và kem đông, kephir và sữa, kem khác đã lên men hoặc axit hóa, đã hoặc chưa cô đặc hoặc pha thêm đường hoặc chất tạo ngọt khác hoặc hương liệu hoặc bổ sung thêm hoa quả, quả hạch (nuts) hoặc ca cao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Bơ và các chất béo và các loại dầu khác tách từ sữa; chất phết từ bơ sữa (dairy spreads)</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Pho mát và curd</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Trứng chim và trứng gia cầm, nguyên vỏ, sống, đã bảo quản hoặc đã làm chín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 trùng và sản phẩm ăn được gốc động vật, chưa được chi tiết hoặc ghi ở nơi khác: Côn trùng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0410.10.00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 trùng và sản phẩm ăn được gốc động vật, chưa được chi tiết hoặc ghi ở nơi khác: Loại khác/Loại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0410.90.90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Ruột, bong bóng và dạ dày động vật (trừ cá), nguyên dạng và các mảnh của chúng, tươi, ướp lạnh, đông lạnh, muối, ngâm nước muối, làm khô hoặc hun khói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0504.00.00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Xương và lõi sừng, chưa xử lý, đã khử mỡ, sơ chế (nhưng chưa cắt thành hình), đã xử lý bằng axit hoặc khử gelatin; bột và phế liệu từ các sản phẩm trên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khác có nguồn gốc động vật: Các sản phẩm động vật khác chưa được chi tiết hoặc ghi ở nơi khác; động vật chết thuộc Chương 1 hoặc Chương 3, không thích hợp sử dụng cho người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có nguồn gốc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hạt và sản phẩm từ hạt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cốc: Ngô, thóc, lúa mì, lúa mạch, kê, hạt cốc khác; sản phẩm, phụ phẩm từ hạt cốc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mì và meslin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mạch đen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đại mạch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Yến mạch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gạo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miến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Kiều mạch, kê, hạt cây thóc chim; các loại ngũ cốc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ngũ cốc, trừ bột mì hoặc bột meslin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Ngũ cốc dạng tấm, dạng bột thô và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ngũ cốc được chế biến theo cách khác (ví dụ, xát vỏ, xay, vỡ mảnh, nghiền vụn, cắt lát hoặc nghiền thô), trừ gạo thuộc nhóm 10.06; mầm ngũ cốc, nguyên dạng, xay, vỡ mảnh hoặc nghiền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chất béo hoặc dầu thực vật hoặc vi sinh vật, trừ các loại thuộc nhóm 23.04 hoặc 23.05</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đậu: Đậu tương, đậu xanh, đậu lupin, đậu triều, hạt đậu khác; sản phẩm, phụ phẩm từ hạt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Đậu tương,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và bột thô từ các loại hạt hoặc quả có dầu, trừ bột mịn và bột thô từ hạt mù tạt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có dầu: Hạt lạc, hạt bông, hạt lanh, hạt vừng, hạt điều,hạt có dầu khác; sản phẩm, phụ phẩm từ hạt có dầu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Lạc chưa rang, hoặc chưa làm chín cách khác đã hoặc chưa bóc vỏ hoặc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lanh,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1204.00.00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và hạt có dầu khác,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Dừa, quả hạch Brazil (Brazil nuts) và hạt điều, tươi hoặc khô, đã hoặc chưa bóc vỏ hoặc lột vỏ</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và bột thô từ các loại hạt hoặc quả có dầu, trừ bột mịn và bột thô từ hạt mù tạt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quả hạch (nuts) và các phần ăn được khác của cây, đã chế biến hoặc bảo quản bằng cách khác, đã hoặc chưa pha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và hạt có dầu khác,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Khô dầu đậu tương, khô dầu lạc, khô dầu cọ, khô dầu hạt cải, khô dầu vừng, khô dầu hướng dương, khô dầu lanh, khô dầu dừa, khô dầu bông, khô dầu đậu lupin, khô dầu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dầu đậu tương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dầu lạc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2305.00.00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chất béo hoặc dầu thực vật hoặc vi sinh vật, trừ các loại thuộc nhóm 23.04 hoặc 23.05</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Rễ, thân, củ, quả: </w:t>
            </w:r>
          </w:p>
          <w:p>
            <w:pPr>
              <w:bidi w:val="0"/>
              <w:spacing w:before="120" w:beforeAutospacing="0" w:after="0" w:afterAutospacing="0"/>
              <w:rPr>
                <w:rtl w:val="0"/>
              </w:rPr>
            </w:pPr>
            <w:r>
              <w:rPr>
                <w:rtl w:val="0"/>
              </w:rPr>
              <w:t>Rễ, thân, củ, quả (ví dụ khoai, sắn, cà rốt, củ cải, dong, chuối, mía, rau…); sản phẩm, phụ phẩm từ rễ, thân, củ, quả.</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Khoai tây,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Cà chua,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0702.00.00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Hành tây, hành, hẹ, tỏi, tỏi tây và các loại rau họ hành, tỏi khác,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Bắp cải, súp lơ, su hào, cải xoăn và cây họ bắp cải ăn được tương tự,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diếp, xà lách (Lactuca sativa) và rau diếp xoăn (Cichorium spp.),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Cà rốt, củ cải, củ dền làm sa- lát, diếp củ (salsify), cần củ (celeriac), củ cải ri (radish) và các loại củ rễ ăn được tương tự,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Dưa chuột và dưa chuột ri,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0707.00.00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đậu, đã hoặc chưa bóc vỏ,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khác,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các loại (đã hoặc chưa hấp chín hoặc luộc chín trong nước), đông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khô, ở dạng nguyên, cắt, thái lát, vụn hoặc ở dạng bột, nhưng chưa chế biến thêm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rau đậu khô, đã bóc vỏ quả, đã hoặc chưa bóc vỏ hạt hoặc làm vỡ hạt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Dừa, quả hạch Brazil (Brazil nuts) và hạt điều, tươi hoặc khô, đã hoặc chưa bóc vỏ hoặc lột vỏ</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hạch (nuts) khác, tươi hoặc khô, đã hoặc chưa bóc vỏ hoặc lột vỏ</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Chuối, kể cả chuối lá,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chà là, sung, vả, dứa, bơ, ổi, xoài và măng cụt,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thuộc chi cam quýt,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nho,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quả họ dưa (kể cả dưa hấu) và đu đủ, tươi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mơ, anh đào, đào (kể cả xuân đào), mận và mận gai, tươi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khác, tươi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và quả hạch (nuts), đã hoặc chưa hấp chín hoặc luộc chín trong nước, đông lạnh, đã hoặc chưa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khô, trừ các loại quả thuộc nhóm 08.01 đến 08.06; hỗn hợp các loại quả hạch (nuts) hoặc quả khô thuộc Chương này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Vỏ các loại quả thuộc chi cam quýt hoặc các loại dưa (kể cả dưa hấu), tươi, đông lạnh, khô hoặc bảo quản tạm thời trong nước muối, nước lưu huỳnh hoặc trong các dung dịch bảo quản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0814.00.00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minh quyết,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Cichorium intybus satibium) chủ yếu dùng làm thức ăn cho người,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Gluten: Gluten ngô, gluten mì, gluten thức ăn chăn nuôi, gluten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ngũ cốc, trừ bột mì hoặc bột meslin: Loại khác/Bột gạo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1102.90.10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Gluten lúa mì, đã hoặc chưa làm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1109.00.00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2303.10.90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phụ phẩm từ sản xuất, chế biến thực phẩm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phụ phẩm từ sản xuất, chế biến mía đường và bánh kẹo: Rỉ mật, vụn bánh, sản phẩm, phụ phẩm khác từ sản xuất, chế biến đường và bánh kẹo.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Mật thu được từ chiết xuất hoặc tinh chế đường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kẹo đường (kể cả sô cô la trắng), không chứa ca cao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Phụ phẩm từ sản xuất, chế biến cồn, rượu, bia: Bã rượu, bỗng rượu, bã bia, men bia, men rượu, sản phẩm khô của sản xuất cồn từ hạt cốc (DDGS) và phụ phẩm khác từ sản xuất, chế biến cồn, rượu, bia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 Từ ngũ cốc khác/Loại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2302.40.90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 Loại khác/Bã và phế liệu từ quá trình ủ hoặc chưng cất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2303.30.00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Bã rượu vang; cặn rượu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2307.00.00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phụ phẩm từ sản xuất, chế biến thực phẩm khác: Bã dứa, bã đậu, bã sắn, bã mía; sản phẩm, phụ phẩm khác từ sản xuất, chế biến thực phẩm.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2308.00.00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Tinh bột gạo, tinh bột ngô, tinh bột sắn, tinh bột mì và tinh bột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inulin: Tinh bột: Tinh bột mì</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inulin: Tinh bột: Tinh bột ngô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1108.12.00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inulin: Tinh bột: Tinh bột khoai tây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1108.13.00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inulin: Tinh bột: Tinh bột sắn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1108.14.00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inulin: Tinh bột: Tinh bột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từ tinh bột sắn và sản phẩm thay thế chế biến từ tinh bột, ở dạng mảnh, hạt, bột xay, bột rây hoặc các dạng tương tự</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1903.00.00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3.5.2.6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thô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Cây, cỏ trên cạn: Cỏ tự nhiên, cỏ trồng, cây họ hòa thảo, cây họ đậu, cây, cỏ trên cạn khác và sản phẩm từ cây cỏ trên cạn;</w:t>
            </w:r>
          </w:p>
          <w:p>
            <w:pPr>
              <w:bidi w:val="0"/>
              <w:spacing w:before="120" w:beforeAutospacing="0" w:after="280" w:afterAutospacing="1"/>
              <w:rPr>
                <w:rtl w:val="0"/>
              </w:rPr>
            </w:pPr>
            <w:r>
              <w:rPr>
                <w:rtl w:val="0"/>
              </w:rPr>
              <w:t xml:space="preserve">Cây thủy sinh: Rong, rêu, tảo, bèo, cây thủy sinh khác và sản phẩm từ cây thủy sinh; </w:t>
            </w:r>
          </w:p>
          <w:p>
            <w:pPr>
              <w:bidi w:val="0"/>
              <w:spacing w:before="120" w:beforeAutospacing="0" w:after="0" w:afterAutospacing="0"/>
              <w:rPr>
                <w:rtl w:val="0"/>
              </w:rPr>
            </w:pPr>
            <w:r>
              <w:rPr>
                <w:rtl w:val="0"/>
              </w:rPr>
              <w:t>Phụ phẩm cây trồng: Rơm, rạ, trấu, lõi ngô, bẹ ngô, lá, thân cây trồng, phụ phẩm khác từ cây trồng.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minh quyết,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Cichorium intybus satibium) chủ yếu dùng làm thức ăn cho người,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Rơm, rạ và trấu từ cây ngũ cốc, chưa xử lý, đã hoặc chưa băm, nghiền, ép hoặc làm thành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1213.00.00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Than củi (kể cả than đốt từ vỏ quả hoặc hạt), đã hoặc chưa đóng thành khối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44.02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Sợi gỗ; bột gỗ</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44.05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mỡ có nguồn gốc thực vật, động vật trên cạn,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lợn không dính nạc và mỡ gia cầm, chưa nấu chảy hoặc chiết xuất cách khác, tươi, ướp lạnh, đông lạnh, muối, ngâm nước muối, làm khô hoặc hun khói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02.09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lợn (kể cả mỡ từ mỡ lá và mỡ khổ) và mỡ gia cầm, trừ các loại thuộc nhóm 02.09 hoặc 15.03</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của động vật họ trâu bò, cừu hoặc dê, trừ các loại mỡ thuộc nhóm 15.03</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Stearin mỡ lợn, dầu mỡ lợn, oleostearin, dầu oleo và dầu tallow, chưa nhũ hóa hoặc chưa pha trộn hoặc chưa chế biến cách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và dầu và các phần phân đoạn của chúng, từ cá hoặc các loài động vật có vú sống ở biển,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lông và chất béo thu được từ mỡ lông (kể cả lanolin)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và dầu động vật khác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15.06.00.00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đậu tương và các phần phân đoạn của dầu đậu tương,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lạc và các phần phân đoạn của dầu lạc,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ô liu và các phần phân đoạn của dầu ô liu,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cọ và các phần phân đoạn của dầu cọ,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hạt hướng dương, dầu cây rum hoặc dầu hạt bông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dừa (copra), dầu hạt cọ hoặc dầu cọ ba-ba- su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cây cải dầu (rape oil hoặc colza oil) hoặc dầu mù tạt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béo và dầu không bay hơi khác của thực vật hoặc vi sinh vật (kể cả dầu jojoba)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béo và dầu động vật, thực vật hoặc vi sinh vật và các phần phân đoạn của chúng, đã qua hydro hóa, este hóa liên hợp, tái este hóa hoặc elaiđin hóa toàn bộ hoặc một phần, đã hoặc chưa tinh chế, nhưng chưa chế biến thêm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Margarin; các hỗn hợp hoặc các chế phẩm ăn được của chất béo hoặc dầu động vật, thực vật hoặc vi sinh vật hoặc các phần phân đoạn của các loại chất béo hoặc dầu khác nhau thuộc Chương này, trừ chất béo và dầu hoặc các phần phân đoạn của chúng ăn được thuộc nhóm 15.16</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béo và dầu động vật, thực vật hoặc vi sinh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các hỗn hợp hoặc các chế phẩm không ăn được từ chất béo hoặc dầu động vật, thực vật hoặc vi sinh vật hoặc từ các phần phân đoạn của các loại chất béo hoặc dầu khác nhau thuộc Chương này,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Đường: Glucose, lactose, mantose và đường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Đường mía hoặc đường củ cải và đường sucroza tinh khiết về mặt hóa học, ở thể rắn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Đường khác, kể cả đường 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Muối ăn (NaCl): Muối (kể cả muối thực phẩm và muối đã bị làm biến tính) và natri clorua tinh khiết, có hoặc không ở trong dung dịch nước hoặc có chứa chất chống đóng bánh hoặc chất làm tăng độ chẩy; nước biển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Ure làm thức ăn cho gia súc nhai lại: Phân khoáng hoặc phân hóa học, có chứa nitơ: Urê, có hoặc không ở trong dung dịch nước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đá, đá hạt, đá mảnh, calcium carbonate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 Đá ở dạng viên, mảnh và bột, làm từ các loại đá thuộc nhóm 25.15 hoặc 25.16, đã hoặc chưa qua xử lý nhiệt: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2517.49.00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Carbonat; peroxocarbonat (percarbonat); amoni carbonat thương phẩm có chứa amoni carbamat: Canxi carbonat: Loại dùng cho thực phẩm hoặc dược phẩm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2836.50.10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Carbonat; peroxocarbonat (percarbonat); amoni carbonat thương phẩm có chứa amoni carbamat: Canxi carbonat: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2836.50.90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20" w:name="dieu_4_1"/>
            <w:r>
              <w:rPr>
                <w:b/>
                <w:bCs/>
                <w:rtl w:val="0"/>
              </w:rPr>
              <w:t>4</w:t>
            </w:r>
            <w:bookmarkEnd w:id="20"/>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21" w:name="dieu_4_1_name"/>
            <w:r>
              <w:rPr>
                <w:b/>
                <w:bCs/>
                <w:rtl w:val="0"/>
              </w:rPr>
              <w:t>Thuốc Thú y</w:t>
            </w:r>
            <w:bookmarkEnd w:id="21"/>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4.1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Thuốc thú y dược phẩm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01-187:2018/BNNPTNT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thú y dược phẩm bảo đảm chất lượng theo yêu cầu kỹ thuật tại Quy chuẩn kỹ thuật quốc gia về Thuốc thú y QCVN 01-187:2018/BNNPTNT dựa trên kết quả kiểm nghiệm của tổ chức thử nghiệm được chỉ định theo quy định của pháp luật</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chứa kháng sinh (trừ các mặt hàng thuộc nhóm 30.02, 30.05 hoặc 30.06) gồm từ hai hay nhiều thành phần trở lên đã pha trộn với nhau, chưa được đóng gói theo liều lượng hoặc làm thành hình dạng nhất định hoặc đóng gói để bán lẻ.</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nhóm penicillins hoặc các dẫn xuất của chúng, có cấu trúc axit penicillanic, hoặc các streptomycin hoặc các dẫn xuất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amoxicillin (INN) hoặc muối của nó</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3003.10.10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ampicillin (INN) hoặc muối của nó</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3003.10.20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3003.10.90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 chứa kháng sinh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3003.20.00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3003.90.00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chứa kháng sinh (trừ các mặt hàng thuộc nhóm 30.02, 30.05 hoặc 30.06) gồm các sản phẩm đã hoặc chưa pha trộn, đã được đóng gói theo liều lượng (kể cả các sản phẩm thuộc loại dùng để hấp thụ qua da) hoặc làm thành dạng nhất định hoặc đóng gói để bán lẻ</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4.1.2.1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penicillins hoặc các dẫn xuất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penicillin G (trừ penicillin G benzathin), phenoxymethyl penicillin hoặc muối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3004.10.15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ampicillin, amoxycillin hoặc muối của chúng, dạng uống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3004.10.16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3004.10.19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4.1.2.2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các streptomycin hoặc các dẫn xuất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3004.10.20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 chứa kháng sinh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4.1.3.1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gentamycin, lincomycin, sulphamethoxazole hoặc các dẫn xuất của chúng, dạng uống hoặc dạng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4.1.3.2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erythromycin hoặc các dẫn xuất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uống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3004.20.31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3004.20.32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3004.20.39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4.1.3.3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tetracylin hoặc chloramphenicol hoặc các dẫn xuất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uống hoặc dạng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3004.20.71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3004.20.79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4.1.3.4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thuốc thú y chứa kháng sinh còn lại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uống hoặc dạng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3004.20.91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3004.20.99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chứa hormon tuyến thượng thận, các dẫn xuất hoặc cấu trúc tương tự</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3004.32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4.1.4.1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Chứa dexamethasone hoặc các dẫn xuất của chúng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3004.32.10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4.1.4.2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3004.32.90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chứa hormon hoặc các sản phẩm của hormon khác nhóm 4.1.4</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3004.39.00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chế phẩm hóa học dùng để tránh thai dựa trên hormon, dựa trên các sản phẩm khác thuộc nhóm 29.37 hoặc dựa trên các chất diệt tinh trùng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3006.60.00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chứa berberine, dạng uống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3004.49.51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4.1.8</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chứa các vitamin và dẫn xuất: Chứa nhiều hơn một loại vitamin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uống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3004.50.21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Dạng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3004.50.29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4.1.9</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chứa các vitamin và dẫn xuất: Chứa một loại vitamin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Vitamin A, B hoặc 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3004.50.91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vitamin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3004.50.99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4.1.10</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gây tê, gây mê: Chứa procain hydroclorua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3004.90.41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gây tê, gây mê: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3004.90.49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giảm đau, hạ sốt: Chứa axit acetylsalicylic, paracetamol hoặc dipyrone (INN), dạng uống (*)</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3004.90.51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giảm đau, hạ sốt: Chứa hoạt chất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3004.90.59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tẩy giun: Chứa piperazine hoặc mebendazole (INN)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3004.90.71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4.1.15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tẩy giun: Chứa hoạt chất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3004.90.79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4.2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Hóa chất dùng trong Thú 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01-187:2018/BNNPTNT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Hóa chất dùng trong thú y bảo đảm chất lượng theo yêu cầu kỹ thuật tại Quy chuẩn kỹ thuật quốc gia về Thuốc thú y QCVN 01-187:2018/BNNPTNT dựa trên kết quả kiểm nghiệm của tổ chức thử nghiệm được chỉ định theo quy định của pháp luật</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sát trùng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3004.90.30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sát trùng chuồng trại, dụng cụ chăn nuôi, vắt sữa, khử trùng nước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3808.94.90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diệt ấu trùng ruồi, côn trùng, ve, bọ chét trên vật nuôi dạng bình xịt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3808.59.11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trừ côn trùng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3808.59.19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diệt ruồi, muỗi, gián trong môi trường nuôi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3808.91.99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diệt chuột: Chứa hoạt chất Coumatetralyl, diệt chuột tại trang trại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3808.69.90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trừ nấm: Chứa hoạt chất Enilconazole và Bronopol, tác dụng diệt nấm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3808.92.90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4.3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Vắc</w:t>
            </w:r>
            <w:r>
              <w:rPr>
                <w:rtl w:val="0"/>
              </w:rPr>
              <w:t xml:space="preserve"> </w:t>
            </w:r>
            <w:r>
              <w:rPr>
                <w:b/>
                <w:bCs/>
                <w:rtl w:val="0"/>
              </w:rPr>
              <w:t>xin</w:t>
            </w:r>
            <w:r>
              <w:rPr>
                <w:rtl w:val="0"/>
              </w:rPr>
              <w:t xml:space="preserve"> </w:t>
            </w:r>
            <w:r>
              <w:rPr>
                <w:b/>
                <w:bCs/>
                <w:rtl w:val="0"/>
              </w:rPr>
              <w:t>thú 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3002.42.00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01-187:2018/BNNPTNT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Vắc xin thú y bảo đảm chất lượng theo yêu cầu kỹ thuật tại Quy chuẩn kỹ thuật quốc gia về Thuốc thú y QCVN 01- 187:2018/BNNPTNT dựa trên kết quả kiểm nghiệm của tổ chức thử nghiệm được chỉ định theo quy định của pháp luật</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4.4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Thuốc thú y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01-187:2018/BNNPTNT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thú y khác bảo đảm chất lượng theo yêu cầu kỹ thuật tại Quy chuẩn kỹ thuật quốc gia về Thuốc thú y QCVN 01-187:2018/BNNPTNT dựa trên kết quả kiểm nghiệm của tổ chức thử nghiệm được chỉ định theo quy định của pháp luật</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có chứa enzym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3507.90.00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từ thảo dược: Thuốc có nguồn gốc từ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3004.90.98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thuốc thú y khác không thuộc các nhóm đã phân loại.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3004.90.99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Kháng thể dùng trong thú y: Các sản phẩm miễn dịch, đóng gói theo liều lượng hoặc làm thành dạng nhất định hoặc đóng gói để bán lẻ</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3002.15.00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22" w:name="dieu_5_1"/>
            <w:r>
              <w:rPr>
                <w:b/>
                <w:bCs/>
                <w:rtl w:val="0"/>
              </w:rPr>
              <w:t>5</w:t>
            </w:r>
            <w:bookmarkEnd w:id="22"/>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23" w:name="dieu_5_1_name"/>
            <w:r>
              <w:rPr>
                <w:b/>
                <w:bCs/>
                <w:rtl w:val="0"/>
              </w:rPr>
              <w:t>Thức ăn thủy sản</w:t>
            </w:r>
            <w:bookmarkEnd w:id="23"/>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5.1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Nguyên liệu sản xuất thức ăn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01-190:2020/BNNPTNT; </w:t>
            </w:r>
          </w:p>
          <w:p>
            <w:pPr>
              <w:bidi w:val="0"/>
              <w:spacing w:before="120" w:beforeAutospacing="0" w:after="0" w:afterAutospacing="0"/>
              <w:rPr>
                <w:rtl w:val="0"/>
              </w:rPr>
            </w:pPr>
            <w:r>
              <w:rPr>
                <w:rtl w:val="0"/>
              </w:rPr>
              <w:t>Sửa đổi 1:2021 QCVN 01- 190:2020/BNNPTNT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kết quả chứng nhận hợp quy của tổ chức chứng nhận được công nhận theo quy định của pháp luật hoặc kết quả tự đánh giá của tổ chức, cá nhân trên cơ sở kết quả thử nghiệm của tổ chức thử nghiệm được công nhận hoặc được chỉ định theo quy định của pháp luật. </w:t>
            </w:r>
          </w:p>
          <w:p>
            <w:pPr>
              <w:bidi w:val="0"/>
              <w:spacing w:before="120" w:beforeAutospacing="0" w:after="280" w:afterAutospacing="1"/>
              <w:rPr>
                <w:rtl w:val="0"/>
              </w:rPr>
            </w:pPr>
            <w:r>
              <w:rPr>
                <w:rtl w:val="0"/>
              </w:rPr>
              <w:t xml:space="preserve">- </w:t>
            </w:r>
            <w:r>
              <w:rPr>
                <w:rtl w:val="0"/>
              </w:rPr>
              <w:t xml:space="preserve">Phương thức đánh giá sự phù hợp: </w:t>
            </w:r>
          </w:p>
          <w:p>
            <w:pPr>
              <w:bidi w:val="0"/>
              <w:spacing w:before="120" w:beforeAutospacing="0" w:after="280" w:afterAutospacing="1"/>
              <w:rPr>
                <w:rtl w:val="0"/>
              </w:rPr>
            </w:pPr>
            <w:r>
              <w:rPr>
                <w:rtl w:val="0"/>
              </w:rPr>
              <w:t xml:space="preserve">+ Áp dụng phương thức 5 theo Thông tư số 14/2026/TT-BKHCN (không phải đánh giá quá trình sản xuất mà sử dụng kết quả kiểm tra điều kiện sản xuất thức ăn thủy sản thực hiện theo quy định tại </w:t>
            </w:r>
            <w:bookmarkStart w:id="24" w:name="dc_3"/>
            <w:r>
              <w:rPr>
                <w:rtl w:val="0"/>
              </w:rPr>
              <w:t>Điều 14 Nghị định số 41/2026/NĐ-CP</w:t>
            </w:r>
            <w:bookmarkEnd w:id="24"/>
            <w:r>
              <w:rPr>
                <w:rtl w:val="0"/>
              </w:rPr>
              <w:t xml:space="preserve"> ngày 25/01/2026 của Chính phủ Quy định chi tiết một số điều và biện pháp thi hành Luật Thủy sản) đối với nguyên liệu sản xuất trong nước; </w:t>
            </w:r>
          </w:p>
          <w:p>
            <w:pPr>
              <w:bidi w:val="0"/>
              <w:spacing w:before="120" w:beforeAutospacing="0" w:after="280" w:afterAutospacing="1"/>
              <w:rPr>
                <w:rtl w:val="0"/>
              </w:rPr>
            </w:pPr>
            <w:r>
              <w:rPr>
                <w:rtl w:val="0"/>
              </w:rPr>
              <w:t xml:space="preserve">+ Áp dụng phương thức 7 theo Thông tư số 14/2026/TT-BKHCN đối với nguyên liệu nhập khẩu </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5.1.1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Nguyên liệu có nguồn gốc động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có nguồn gốc động vật thủy sản: Bột cá, dịch cá, cá thủy phân, các sản phẩm khác từ cá, bột giáp xác, bột nhuyễn thể, bột gan mực, các nguyên liệu khác từ động vật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có nguồn gốc động vật trên cạn: Bột xương, bột thịt, bột thịt xương, bột huyết, sản phẩm từ sữa, bột lông vũ thủy phân, bột côn trùng và động vật không xương sống; sản phẩm từ trứng; sữa và sản phẩm từ sữa; sản phẩm, phụ phẩm khác từ động vật trên cạn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Sữa và kem, chưa cô đặc và chưa pha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Sữa và kem, đã cô đặc hoặc đã pha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Sữa chua; buttermilk, sữa đông và kem đông, kephir và sữa, kem khác đã lên men hoặc axit hóa, đã hoặc chưa cô đặc hoặc pha thêm đường hoặc chất tạo ngọt khác hoặc hương liệu hoặc bổ sung thêm hoa quả, quả hạch (nuts) hoặc ca cao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Bơ và các chất béo và các loại dầu khác tách từ sữa; chất phết từ bơ sữa (dairy spreads)</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Pho mát và curd</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Trứng chim và trứng gia cầm, nguyên vỏ, sống, đã bảo quản hoặc đã làm chín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Ruột, bong bóng và dạ dày động vật (trừ cá), nguyên dạng và các mảnh của chúng, tươi, ướp lạnh, đông lạnh, muối, ngâm nước muối, làm khô hoặc hun khói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0504.00.00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Xương và lõi sừng, chưa xử lý, đã khử mỡ, sơ chế (nhưng chưa cắt thành hình), đã xử lý bằng axit hoặc khử gelatin; bột và phế liệu từ các sản phẩm trên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khác có nguồn gốc động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Côn trùng và sản phẩm ăn được gốc động vật,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sản phẩm động vật khác chưa được chi tiết hoặc ghi ở nơi khác; động vật chết thuộc Chương 1 hoặc Chương 3 (mô tả theo Thông tư 31/2022/TT-BTC), không thích hợp sử dụng cho người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5.1.2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Nguyên liệu có nguồn gốc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hạt và sản phẩm từ hạt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Hạt ngũ cốc: Ngô, thóc, lúa mì, lúa mạch, kê, hạt ngũ cốc khác; sản phẩm, phụ phẩm từ hạt ngũ cốc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mì và meslin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mạch đen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đại mạch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Yến mạch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gạo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Lúa miến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Kiều mạch, kê, hạt cây thóc chim; các loại ngũ cốc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ngũ cốc, trừ bột mì hoặc bột meslin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Ngũ cốc dạng tấm, dạng bột thô và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ngũ cốc được chế biến theo cách khác (ví dụ, xát vỏ, xay, vỡ mảnh, nghiền vụn, cắt lát hoặc nghiền thô), trừ gạo thuộc nhóm 10.06; mầm ngũ cốc, nguyên dạng, xay, vỡ mảnh hoặc nghiền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chất béo hoặc dầu thực vật hoặc vi sinh vật, trừ các loại thuộc nhóm 23.04 hoặc 23.05 (mô tả theo Thông tư 31/2022/TT-BTC)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Hạt đậu: Đậu tương, đậu xanh, đậu lupin, đậu triều, hạt đậu khác; sản phẩm, phụ phẩm từ hạt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Đậu tương,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và bột thô từ các loại hạt hoặc quả có dầu, trừ bột mịn và bột thô từ hạt mù tạt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dầu đậu tương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Hạt có dầu: Hạt lạc, hạt bông, hạt lanh, hạt vừng, hạt điều,hạt có dầu khác; sản phẩm, phụ phẩm từ hạt có dầu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Lạc chưa rang, hoặc chưa làm chín cách khác, đã hoặc chưa bóc vỏ hoặc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Cùi (cơm) dừa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1203.00.00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lanh,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1204.00.00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cải dầu,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Hạt hướng dương,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1206.00.00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và hạt có dầu khác,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và bột thô từ các loại hạt hoặc quả có dầu, trừ bột mịn và bột thô từ hạt mù tạt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dầu lạc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2305.00.00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chất béo hoặc dầu thực vật hoặc vi sinh vật, trừ các loại thuộc nhóm 23.04 hoặc 23.05</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Hạt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20.08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và hạt có dầu khác, đã hoặc chưa vỡ mảnh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Khô dầu đậu tương, khô dầu lạc, khô dầu cọ, khô dầu hạt cải, khô dầu vừng, khô dầu hướng dương, khô dầu lanh, khô dầu dừa, khô dầu bông, khô dầu đậu lupin, khô dầu Guar; khô dầu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Cám, tấm và phế liệu khác, ở dạng viên hoặc không ở dạng viên, thu được từ quá trình giần, sàng, rây, xay xát hoặc chế biến cách khác từ các loại ngũ cốc hoặc các loại cây họ đậu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dầu đậu tương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dầu lạc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2305.00.00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Khô dầu và phế liệu rắn khác, đã hoặc chưa xay hoặc ở dạng viên, thu được từ quá trình chiết xuất chất béo hoặc dầu thực vật hoặc vi sinh vật, trừ các loại thuộc nhóm 23.04 hoặc 23.05</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Rễ, thân, củ, quả: Rễ, thân, củ, quả (ví dụ khoai, sắn, cà rốt, củ cải, dong, chuối, mía, rau…); sản phẩm, phụ phẩm từ rễ, thân, củ, quả.</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Khoai tây,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Cà chua,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0702.00.00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Hành tây, hành, hẹ, tỏi, tỏi tây và các loại rau họ hành, tỏi khác,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Bắp cải, súp lơ </w:t>
            </w:r>
            <w:r>
              <w:rPr>
                <w:vertAlign w:val="superscript"/>
                <w:rtl w:val="0"/>
              </w:rPr>
              <w:t>(1)</w:t>
            </w:r>
            <w:r>
              <w:rPr>
                <w:rtl w:val="0"/>
              </w:rPr>
              <w:t>, su hào, cải xoăn và cây họ bắp cải ăn được tương tự,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Rau diếp, xà lách </w:t>
            </w:r>
            <w:r>
              <w:rPr>
                <w:i/>
                <w:iCs/>
                <w:rtl w:val="0"/>
              </w:rPr>
              <w:t>(Lactuca</w:t>
            </w:r>
            <w:r>
              <w:rPr>
                <w:rtl w:val="0"/>
              </w:rPr>
              <w:t xml:space="preserve"> </w:t>
            </w:r>
            <w:r>
              <w:rPr>
                <w:i/>
                <w:iCs/>
                <w:rtl w:val="0"/>
              </w:rPr>
              <w:t>sativa)</w:t>
            </w:r>
            <w:r>
              <w:rPr>
                <w:rtl w:val="0"/>
              </w:rPr>
              <w:t xml:space="preserve"> và rau diếp xoăn </w:t>
            </w:r>
            <w:r>
              <w:rPr>
                <w:i/>
                <w:iCs/>
                <w:rtl w:val="0"/>
              </w:rPr>
              <w:t>(Cichorium</w:t>
            </w:r>
            <w:r>
              <w:rPr>
                <w:rtl w:val="0"/>
              </w:rPr>
              <w:t xml:space="preserve"> </w:t>
            </w:r>
            <w:r>
              <w:rPr>
                <w:i/>
                <w:iCs/>
                <w:rtl w:val="0"/>
              </w:rPr>
              <w:t>spp.)</w:t>
            </w:r>
            <w:r>
              <w:rPr>
                <w:rtl w:val="0"/>
              </w:rPr>
              <w:t>,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Cà rốt, củ cải, củ dền làm sa- lát, diếp củ (salsify), cần củ (celeriac), củ cải ri (radish) và các loại củ rễ ăn được tương tự,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Dưa chuột và dưa chuột ri,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0707.00.00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đậu, đã hoặc chưa bóc vỏ,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khác, tươi hoặc ướp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các loại (đã hoặc chưa hấp chín hoặc luộc chín trong nước), đông lạnh</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Rau khô, ở dạng nguyên, cắt, thái lát, vụn hoặc ở dạng bột, nhưng chưa chế biến thêm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rau đậu khô, đã bóc vỏ quả, đã hoặc chưa bóc vỏ hạt hoặc làm vỡ hạt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07.14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Dừa, quả hạch Brazil (Brazil nuts) và hạt điều, tươi hoặc khô, đã hoặc chưa bóc vỏ hoặc lột vỏ</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hạch (nuts) khác, tươi hoặc khô, đã hoặc chưa bóc vỏ hoặc lột vỏ</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Chuối, kể cả chuối lá,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chà là, sung, vả, dứa, bơ, ổi, xoài và măng cụt,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thuộc chi cam quýt,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nho, tươi hoặc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quả họ dưa (kể cả dưa hấu) và đu đủ, tươi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mơ, anh đào, đào (kể cả xuân đào), mận và mận gai, tươi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khác, tươi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và quả hạch (nuts), đã hoặc chưa hấp chín hoặc luộc chín trong nước, đông lạnh, đã hoặc chưa thêm đường hoặc chất tạo ngọt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Quả, khô, trừ các loại quả thuộc nhóm 08.01 đến 08.06; hỗn hợp các loại quả hạch (nuts) hoặc quả khô thuộc Chương này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Vỏ các loại quả thuộc chi cam quýt hoặc các loại dưa (kể cả dưa hấu), tươi, đông lạnh, khô hoặc bảo quản tạm thời trong nước muối, nước lưu huỳnh hoặc trong các dung dịch bảo quản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0814.00.00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bột thô, bột mịn, mảnh lát, hạt và viên từ khoai tây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bột thô và bột mịn, chế biến từ các loại rau đậu khô thuộc nhóm 07.13, từ cọ sago hoặc từ rễ, củ hoặc thân củ thuộc nhóm 07.14 hoặc từ các sản phẩm thuộc Chương 8</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Malt, rang hoặc chưa rang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inulin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Gluten lúa mì, đã hoặc chưa làm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1109.00.00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Quả minh quyết </w:t>
            </w:r>
            <w:r>
              <w:rPr>
                <w:vertAlign w:val="superscript"/>
                <w:rtl w:val="0"/>
              </w:rPr>
              <w:t>(1)</w:t>
            </w:r>
            <w:r>
              <w:rPr>
                <w:rtl w:val="0"/>
              </w:rPr>
              <w:t xml:space="preserve">,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w:t>
            </w:r>
            <w:r>
              <w:rPr>
                <w:i/>
                <w:iCs/>
                <w:rtl w:val="0"/>
              </w:rPr>
              <w:t>Cichorium</w:t>
            </w:r>
            <w:r>
              <w:rPr>
                <w:rtl w:val="0"/>
              </w:rPr>
              <w:t xml:space="preserve"> </w:t>
            </w:r>
            <w:r>
              <w:rPr>
                <w:i/>
                <w:iCs/>
                <w:rtl w:val="0"/>
              </w:rPr>
              <w:t>intybus</w:t>
            </w:r>
            <w:r>
              <w:rPr>
                <w:rtl w:val="0"/>
              </w:rPr>
              <w:t xml:space="preserve"> </w:t>
            </w:r>
            <w:r>
              <w:rPr>
                <w:i/>
                <w:iCs/>
                <w:rtl w:val="0"/>
              </w:rPr>
              <w:t>satibium</w:t>
            </w:r>
            <w:r>
              <w:rPr>
                <w:rtl w:val="0"/>
              </w:rPr>
              <w:t>) chủ yếu dùng làm thức ăn cho người,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Rơm, rạ và trấu từ cây ngũ cốc, chưa xử lý, đã hoặc chưa băm, nghiền, ép hoặc làm thành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1213.00.00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Gluten: Gluten ngô, gluten mì, gluten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gạo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1102.90.10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Gluten lúa mì, đã hoặc chưa làm khô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1109.00.00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 </w:t>
            </w:r>
          </w:p>
          <w:p>
            <w:pPr>
              <w:bidi w:val="0"/>
              <w:spacing w:before="120" w:beforeAutospacing="0" w:after="280" w:afterAutospacing="1"/>
              <w:rPr>
                <w:rtl w:val="0"/>
              </w:rPr>
            </w:pPr>
            <w:r>
              <w:rPr>
                <w:rtl w:val="0"/>
              </w:rPr>
              <w:t xml:space="preserve">- Phế liệu từ quá trình sản xuất tinh bột và phế liệu tương tự: </w:t>
            </w:r>
          </w:p>
          <w:p>
            <w:pPr>
              <w:bidi w:val="0"/>
              <w:spacing w:before="120" w:beforeAutospacing="0" w:after="0" w:afterAutospacing="0"/>
              <w:rPr>
                <w:rtl w:val="0"/>
              </w:rPr>
            </w:pP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2303.10.90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khác từ thực vật (trừ các nguyên liệu là dược liệu)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2308.00.00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mỡ có nguồn gốc thực vật, thủy sản, nấm, vi sinh vật, tảo và sinh vật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lợn không dính nạc và mỡ gia cầm, chưa nấu chảy hoặc chiết xuất cách khác, tươi, ướp lạnh, đông lạnh, muối, ngâm nước muối, làm khô hoặc hun khói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02.09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Bơ và các chất béo và các loại dầu khác tách từ sữa; chất phết từ bơ sữa (dairy spreads)</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04.05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lợn (kể cả mỡ từ mỡ lá và mỡ khổ) và mỡ gia cầm, trừ các loại thuộc nhóm 02.09 hoặc 15.03</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của động vật họ trâu bò, cừu hoặc dê, trừ các loại mỡ thuộc nhóm 15.03</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Stearin mỡ lợn, dầu mỡ lợn, oleostearin, dầu oleo và dầu tallow, chưa nhũ hóa hoặc chưa pha trộn hoặc chưa chế biến cách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và dầu và các phần phân đoạn của chúng, từ cá hoặc các loài động vật có vú sống ở biển,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lông và chất béo thu được từ mỡ lông (kể cả lanolin)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Mỡ và dầu động vật khác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1506.00.00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đậu tương và các phần phân đoạn của dầu đậu tương,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lạc và các phần phân đoạn của dầu lạc,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ô liu và các phần phân đoạn của dầu ô liu,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15.09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Dầu cọ và các phần phân đoạn của dầu cọ, đã hoặc chưa tinh chế, nhưng không thay đổi về mặt hóa học. </w:t>
            </w:r>
            <w:r>
              <w:rPr>
                <w:vertAlign w:val="superscript"/>
                <w:rtl w:val="0"/>
              </w:rPr>
              <w:t>(SEN)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hạt hướng dương, dầu cây rum hoặc dầu hạt bông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dừa (copra), dầu hạt cọ hoặc dầu cọ ba-ba- su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Dầu cây cải dầu (rape oil hoặc colza oil) hoặc dầu mù tạt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béo và dầu không bay hơi khác của thực vật hoặc vi sinh vật (kể cả dầu jojoba) và các phần phân đoạn của chúng, đã hoặc chưa tinh chế, nhưng không thay đổi về mặt hóa học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béo và dầu động vật, thực vật hoặc vi sinh vật và các phần phân đoạn của chúng, đã qua hydro hóa, este hóa liên hợp, tái este hóa hoặc elaiđin hóa toàn bộ hoặc một phần, đã hoặc chưa tinh chế, nhưng chưa chế biến thêm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15.16</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Margarin; các hỗn hợp hoặc các chế phẩm ăn được của chất béo hoặc dầu động vật, thực vật hoặc vi sinh vật hoặc các phần phân đoạn của các loại chất béo hoặc dầu khác nhau thuộc Chương này, trừ chất béo và dầu hoặc các phần phân đoạn của chúng ăn được thuộc nhóm 15.16</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15.17</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béo và dầu động vật, thực vật hoặc vi sinh vật và các phần phân đoạn của chúng, đã đun sôi, oxy hóa, khử nước, sulphua hóa, thổi khô, polyme hóa bằng cách đun nóng trong chân không hoặc trong khí trơ hoặc bằng biện pháp thay đổi về mặt hóa học khác, trừ loại thuộc nhóm 15.16; các hỗn hợp hoặc các chế phẩm không ăn được từ chất béo hoặc dầu động vật, thực vật hoặc vi sinh vật hoặc từ các phần phân đoạn của các loại chất béo hoặc dầu khác nhau thuộc Chương này,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15.18</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5.1.2.7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Nguyên liệu từ nấm, vi sinh vật, rong, tảo: </w:t>
            </w:r>
          </w:p>
          <w:p>
            <w:pPr>
              <w:bidi w:val="0"/>
              <w:spacing w:before="120" w:beforeAutospacing="0" w:after="280" w:afterAutospacing="1"/>
              <w:rPr>
                <w:rtl w:val="0"/>
              </w:rPr>
            </w:pPr>
            <w:r>
              <w:rPr>
                <w:rtl w:val="0"/>
              </w:rPr>
              <w:t xml:space="preserve">- </w:t>
            </w:r>
            <w:r>
              <w:rPr>
                <w:rtl w:val="0"/>
              </w:rPr>
              <w:t>Sản phẩm từ nấm men (</w:t>
            </w:r>
            <w:r>
              <w:rPr>
                <w:i/>
                <w:iCs/>
                <w:rtl w:val="0"/>
              </w:rPr>
              <w:t>saccharomyces</w:t>
            </w:r>
            <w:r>
              <w:rPr>
                <w:rtl w:val="0"/>
              </w:rPr>
              <w:t xml:space="preserve"> </w:t>
            </w:r>
            <w:r>
              <w:rPr>
                <w:i/>
                <w:iCs/>
                <w:rtl w:val="0"/>
              </w:rPr>
              <w:t>cerevisiae)</w:t>
            </w:r>
            <w:r>
              <w:rPr>
                <w:rtl w:val="0"/>
              </w:rPr>
              <w:t xml:space="preserve">: Yeast extract; Brewers dried yeast (Men bia sấy khô); Hydrolyze yeast (Men bia thủy phân); </w:t>
            </w:r>
          </w:p>
          <w:p>
            <w:pPr>
              <w:bidi w:val="0"/>
              <w:spacing w:before="120" w:beforeAutospacing="0" w:after="280" w:afterAutospacing="1"/>
              <w:rPr>
                <w:rtl w:val="0"/>
              </w:rPr>
            </w:pPr>
            <w:r>
              <w:rPr>
                <w:rtl w:val="0"/>
              </w:rPr>
              <w:t xml:space="preserve">- </w:t>
            </w:r>
            <w:r>
              <w:rPr>
                <w:rtl w:val="0"/>
              </w:rPr>
              <w:t xml:space="preserve">Sinh khối rong, tảo và các sản phẩm của chúng; </w:t>
            </w:r>
          </w:p>
          <w:p>
            <w:pPr>
              <w:bidi w:val="0"/>
              <w:spacing w:before="120" w:beforeAutospacing="0" w:after="0" w:afterAutospacing="0"/>
              <w:rPr>
                <w:rtl w:val="0"/>
              </w:rPr>
            </w:pPr>
            <w:r>
              <w:rPr>
                <w:rtl w:val="0"/>
              </w:rPr>
              <w:t xml:space="preserve">- </w:t>
            </w:r>
            <w:r>
              <w:rPr>
                <w:rtl w:val="0"/>
              </w:rPr>
              <w:t>Sinh khối vi sinh vật sử dụng trong thức ăn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Các chế phẩm thực phẩm chưa được chi tiết hoặc ghi ở nơi khác: </w:t>
            </w:r>
          </w:p>
          <w:p>
            <w:pPr>
              <w:bidi w:val="0"/>
              <w:spacing w:before="120" w:beforeAutospacing="0" w:after="280" w:afterAutospacing="1"/>
              <w:rPr>
                <w:rtl w:val="0"/>
              </w:rPr>
            </w:pPr>
            <w:r>
              <w:rPr>
                <w:rtl w:val="0"/>
              </w:rPr>
              <w:t xml:space="preserve">- </w:t>
            </w:r>
            <w:r>
              <w:rPr>
                <w:rtl w:val="0"/>
              </w:rPr>
              <w:t xml:space="preserve">Loại khác: </w:t>
            </w:r>
          </w:p>
          <w:p>
            <w:pPr>
              <w:bidi w:val="0"/>
              <w:spacing w:before="120" w:beforeAutospacing="0" w:after="280" w:afterAutospacing="1"/>
              <w:rPr>
                <w:rtl w:val="0"/>
              </w:rPr>
            </w:pPr>
            <w:r>
              <w:rPr>
                <w:rtl w:val="0"/>
              </w:rPr>
              <w:t xml:space="preserve">- </w:t>
            </w:r>
            <w:r>
              <w:rPr>
                <w:rtl w:val="0"/>
              </w:rPr>
              <w:t xml:space="preserve">- Chất chiết nấm men tự phân: </w:t>
            </w:r>
          </w:p>
          <w:p>
            <w:pPr>
              <w:bidi w:val="0"/>
              <w:spacing w:before="120" w:beforeAutospacing="0" w:after="0" w:afterAutospacing="0"/>
              <w:rPr>
                <w:rtl w:val="0"/>
              </w:rPr>
            </w:pPr>
            <w:r>
              <w:rPr>
                <w:rtl w:val="0"/>
              </w:rPr>
              <w:t xml:space="preserve">- </w:t>
            </w:r>
            <w:r>
              <w:rPr>
                <w:rtl w:val="0"/>
              </w:rPr>
              <w:t>Dạng bột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2106.90.41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Các chế phẩm thực phẩm chưa được chi tiết hoặc ghi ở nơi khác: </w:t>
            </w:r>
          </w:p>
          <w:p>
            <w:pPr>
              <w:bidi w:val="0"/>
              <w:spacing w:before="120" w:beforeAutospacing="0" w:after="280" w:afterAutospacing="1"/>
              <w:rPr>
                <w:rtl w:val="0"/>
              </w:rPr>
            </w:pPr>
            <w:r>
              <w:rPr>
                <w:rtl w:val="0"/>
              </w:rPr>
              <w:t xml:space="preserve">- </w:t>
            </w:r>
            <w:r>
              <w:rPr>
                <w:rtl w:val="0"/>
              </w:rPr>
              <w:t xml:space="preserve">Loại khác: </w:t>
            </w:r>
          </w:p>
          <w:p>
            <w:pPr>
              <w:bidi w:val="0"/>
              <w:spacing w:before="120" w:beforeAutospacing="0" w:after="280" w:afterAutospacing="1"/>
              <w:rPr>
                <w:rtl w:val="0"/>
              </w:rPr>
            </w:pPr>
            <w:r>
              <w:rPr>
                <w:rtl w:val="0"/>
              </w:rPr>
              <w:t xml:space="preserve">- </w:t>
            </w:r>
            <w:r>
              <w:rPr>
                <w:rtl w:val="0"/>
              </w:rPr>
              <w:t xml:space="preserve">- Chất chiết nấm men tự phân: </w:t>
            </w:r>
          </w:p>
          <w:p>
            <w:pPr>
              <w:bidi w:val="0"/>
              <w:spacing w:before="120" w:beforeAutospacing="0" w:after="0" w:afterAutospacing="0"/>
              <w:rPr>
                <w:rtl w:val="0"/>
              </w:rPr>
            </w:pPr>
            <w:r>
              <w:rPr>
                <w:rtl w:val="0"/>
              </w:rPr>
              <w:t xml:space="preserve">- </w:t>
            </w: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2106.90.49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Máu người; máu động vật đã điều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tự; tế bào nuôi cấy, có hoặc không cải biến </w:t>
            </w:r>
          </w:p>
          <w:p>
            <w:pPr>
              <w:bidi w:val="0"/>
              <w:spacing w:before="120" w:beforeAutospacing="0" w:after="0" w:afterAutospacing="0"/>
              <w:rPr>
                <w:rtl w:val="0"/>
              </w:rPr>
            </w:pPr>
            <w:r>
              <w:rPr>
                <w:rtl w:val="0"/>
              </w:rPr>
              <w:t>- -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3002.90.00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Quả minh quyết </w:t>
            </w:r>
            <w:r>
              <w:rPr>
                <w:vertAlign w:val="superscript"/>
                <w:rtl w:val="0"/>
              </w:rPr>
              <w:t>(1)</w:t>
            </w:r>
            <w:r>
              <w:rPr>
                <w:rtl w:val="0"/>
              </w:rPr>
              <w:t xml:space="preserve">, rong biển và các loại tảo khác, củ cải đường (sugar beet) và mía đường, tươi, ướp lạnh, đông lạnh hoặc khô, đã hoặc chưa nghiền; hạt và nhân của hạt và các sản phẩm thực vật khác (kể cả rễ rau diếp xoăn chưa rang thuộc loài </w:t>
            </w:r>
            <w:r>
              <w:rPr>
                <w:i/>
                <w:iCs/>
                <w:rtl w:val="0"/>
              </w:rPr>
              <w:t>Cichorium</w:t>
            </w:r>
            <w:r>
              <w:rPr>
                <w:rtl w:val="0"/>
              </w:rPr>
              <w:t xml:space="preserve"> </w:t>
            </w:r>
            <w:r>
              <w:rPr>
                <w:i/>
                <w:iCs/>
                <w:rtl w:val="0"/>
              </w:rPr>
              <w:t>intybus</w:t>
            </w:r>
            <w:r>
              <w:rPr>
                <w:rtl w:val="0"/>
              </w:rPr>
              <w:t xml:space="preserve"> </w:t>
            </w:r>
            <w:r>
              <w:rPr>
                <w:i/>
                <w:iCs/>
                <w:rtl w:val="0"/>
              </w:rPr>
              <w:t>satibium</w:t>
            </w:r>
            <w:r>
              <w:rPr>
                <w:rtl w:val="0"/>
              </w:rPr>
              <w:t xml:space="preserve">) chủ yếu dùng làm thức ăn cho người, chưa được chi tiết hoặc ghi ở nơi khác </w:t>
            </w:r>
          </w:p>
          <w:p>
            <w:pPr>
              <w:bidi w:val="0"/>
              <w:spacing w:before="120" w:beforeAutospacing="0" w:after="280" w:afterAutospacing="1"/>
              <w:rPr>
                <w:rtl w:val="0"/>
              </w:rPr>
            </w:pPr>
            <w:r>
              <w:rPr>
                <w:rtl w:val="0"/>
              </w:rPr>
              <w:t xml:space="preserve">- </w:t>
            </w:r>
            <w:r>
              <w:rPr>
                <w:rtl w:val="0"/>
              </w:rPr>
              <w:t xml:space="preserve">Rong biển và các loại tảo khác: </w:t>
            </w:r>
          </w:p>
          <w:p>
            <w:pPr>
              <w:bidi w:val="0"/>
              <w:spacing w:before="120" w:beforeAutospacing="0" w:after="0" w:afterAutospacing="0"/>
              <w:rPr>
                <w:rtl w:val="0"/>
              </w:rPr>
            </w:pPr>
            <w:r>
              <w:rPr>
                <w:rtl w:val="0"/>
              </w:rPr>
              <w:t xml:space="preserve">- </w:t>
            </w: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1212.29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Men sống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Men ỳ; các vi sinh đơn bào khác, chết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2102.20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5.1.3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Sản phẩm, phụ phẩm từ quá trình sản xuất thực phẩm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5.1.3.1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phụ phẩm từ sản xuất, chế biến mía đường và bánh kẹo: Rỉ mật, vụn bánh, sản phẩm, phụ phẩm khác từ sản xuất, chế biến đường và bánh kẹo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Mật thu được từ chiết xuất hoặc tinh chế đường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Các loại kẹo đường (kể cả sô cô la trắng), không chứa ca cao</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5.1.3.2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Phụ phẩm từ sản xuất cồn, rượu, bia: </w:t>
            </w:r>
          </w:p>
          <w:p>
            <w:pPr>
              <w:bidi w:val="0"/>
              <w:spacing w:before="120" w:beforeAutospacing="0" w:after="0" w:afterAutospacing="0"/>
              <w:rPr>
                <w:rtl w:val="0"/>
              </w:rPr>
            </w:pPr>
            <w:r>
              <w:rPr>
                <w:rtl w:val="0"/>
              </w:rPr>
              <w:t>Bã rượu, bỗng rượu, bã bia, men bia, men rượu, sản phẩm khô của sản xuất cồn từ hạt cốc (DDGS) và phụ phẩm khác từ sản xuất cồn, rượu, bia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2302.40.90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Bã và phế liệu từ quá trình ủ hoặc chưng cất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2303.30.00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Bã rượu vang; cặn rượu</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2307.00.00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5.1.3.3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phụ phẩm từ sản xuất thực phẩm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Bột mịn, bột thô và viên, từ thịt hoặc phụ phẩm dạng thịt sau giết mổ, từ cá hoặc từ động vật giáp xác, động vật thân mềm hoặc động vật thủy sinh không xương sống khác, không thích hợp dùng làm thức ăn cho người; tóp mỡ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2308.00.00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5.1.3.4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Tinh bột gạo, tinh bột ngô, tinh bột sắn, tinh bột mì và tinh bột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mì</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ngô</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1108.12.00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khoai tây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1108.13.00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sắn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1108.14.00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Tinh bột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1108.19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từ tinh bột sắn và sản phẩm thay thế chế biến từ tinh bột, ở dạng mảnh, hạt, bột xay, bột rây hoặc các dạng tương tự</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1903.00.00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5.1.3.5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Đường: Glucose, lactose, mantose và đường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Đường mía hoặc đường củ cải và đường sucroza tinh khiết về mặt hoá học, ở thể rắn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Đường khác, kể cả đường lactoza, mantoza, glucoza và fructoza, tinh khiết về mặt hóa học, ở thể rắn; xirô đường chưa pha thêm hương liệu hoặc chất màu; mật ong nhân tạo, đã hoặc chưa pha trộn với mật ong tự nhiên; đường caramen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5.1.4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Nguyên liệu thức ăn thuỷ sản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Trứng Artemia (trứng Brine shrimp)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0511.91.20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100:2025/BNNMT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kết quả chứng nhận hợp quy của tổ chức chứng nhận được công nhận theo quy định của pháp luật hoặc kết quả tự đánh giá của tổ chức, cá nhân trên cơ sở kết quả thử nghiệm của tổ chức thử nghiệm được công nhận hoặc được chỉ định theo quy định của pháp luật. </w:t>
            </w:r>
          </w:p>
          <w:p>
            <w:pPr>
              <w:bidi w:val="0"/>
              <w:spacing w:before="120" w:beforeAutospacing="0" w:after="280" w:afterAutospacing="1"/>
              <w:rPr>
                <w:rtl w:val="0"/>
              </w:rPr>
            </w:pPr>
            <w:r>
              <w:rPr>
                <w:rtl w:val="0"/>
              </w:rPr>
              <w:t xml:space="preserve">- </w:t>
            </w:r>
            <w:r>
              <w:rPr>
                <w:rtl w:val="0"/>
              </w:rPr>
              <w:t xml:space="preserve">Phương thức đánh giá sự phù hợp: </w:t>
            </w:r>
          </w:p>
          <w:p>
            <w:pPr>
              <w:bidi w:val="0"/>
              <w:spacing w:before="120" w:beforeAutospacing="0" w:after="280" w:afterAutospacing="1"/>
              <w:rPr>
                <w:rtl w:val="0"/>
              </w:rPr>
            </w:pPr>
            <w:r>
              <w:rPr>
                <w:rtl w:val="0"/>
              </w:rPr>
              <w:t xml:space="preserve">+ Áp dụng phương thức 5 theo Thông tư số 14/2026/TT-BKHCN (không phải đánh giá quá trình sản xuất mà sử dụng kết quả kiểm tra điều kiện sản xuất thức ăn thủy sản thực hiện theo quy định tại </w:t>
            </w:r>
            <w:bookmarkStart w:id="25" w:name="dc_4"/>
            <w:r>
              <w:rPr>
                <w:rtl w:val="0"/>
              </w:rPr>
              <w:t>Điều 14 Nghị định số 41/2026/NĐ-CP</w:t>
            </w:r>
            <w:bookmarkEnd w:id="25"/>
            <w:r>
              <w:rPr>
                <w:rtl w:val="0"/>
              </w:rPr>
              <w:t xml:space="preserve"> ngày 25/01/2026 của Chính phủ Quy định chi tiết một số điều và biện pháp thi hành Luật Thủy sản) đối với nguyên liệu sản xuất trong nước; </w:t>
            </w:r>
          </w:p>
          <w:p>
            <w:pPr>
              <w:bidi w:val="0"/>
              <w:spacing w:before="120" w:beforeAutospacing="0" w:after="280" w:afterAutospacing="1"/>
              <w:rPr>
                <w:rtl w:val="0"/>
              </w:rPr>
            </w:pPr>
            <w:r>
              <w:rPr>
                <w:rtl w:val="0"/>
              </w:rPr>
              <w:t>+ Áp dụng phương thức 7 theo Thông tư số 14/2026/TT-BKHCN đối với nguyên liệu nhập khẩu.</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tổng hợp, chất bổ sung thức ăn hoặc phụ gia thức ăn (Hỗn hợp (Premix) khoáng, vitamin, …. phụ gia)</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94:2025/BNNMT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kết quả chứng nhận hợp quy của tổ chức chứng nhận được công nhận theo quy định của pháp luật hoặc kết quả tự đánh giá của tổ chức, cá nhân trên cơ sở kết quả thử nghiệm của tổ chức thử nghiệm được công nhận hoặc được chỉ định theo quy định của pháp luật. </w:t>
            </w:r>
          </w:p>
          <w:p>
            <w:pPr>
              <w:bidi w:val="0"/>
              <w:spacing w:before="120" w:beforeAutospacing="0" w:after="280" w:afterAutospacing="1"/>
              <w:rPr>
                <w:rtl w:val="0"/>
              </w:rPr>
            </w:pPr>
            <w:r>
              <w:rPr>
                <w:rtl w:val="0"/>
              </w:rPr>
              <w:t xml:space="preserve">- </w:t>
            </w:r>
            <w:r>
              <w:rPr>
                <w:rtl w:val="0"/>
              </w:rPr>
              <w:t xml:space="preserve">Phương thức đánh giá sự phù hợp: </w:t>
            </w:r>
          </w:p>
          <w:p>
            <w:pPr>
              <w:bidi w:val="0"/>
              <w:spacing w:before="120" w:beforeAutospacing="0" w:after="280" w:afterAutospacing="1"/>
              <w:rPr>
                <w:rtl w:val="0"/>
              </w:rPr>
            </w:pPr>
            <w:r>
              <w:rPr>
                <w:rtl w:val="0"/>
              </w:rPr>
              <w:t xml:space="preserve">+ Áp dụng phương thức 5 theo Thông tư số 14/2026/TT-BKHCN (không phải đánh giá quá trình sản xuất mà sử dụng kết quả kiểm tra điều kiện sản xuất thức ăn thủy sản thực hiện theo quy định tại </w:t>
            </w:r>
            <w:bookmarkStart w:id="26" w:name="dc_5"/>
            <w:r>
              <w:rPr>
                <w:rtl w:val="0"/>
              </w:rPr>
              <w:t>Điều 14 Nghị định số 41/2026/NĐ-CP</w:t>
            </w:r>
            <w:bookmarkEnd w:id="26"/>
            <w:r>
              <w:rPr>
                <w:rtl w:val="0"/>
              </w:rPr>
              <w:t xml:space="preserve"> ngày 25/01/2026 của Chính phủ Quy định chi tiết một số điều và biện pháp thi hành Luật Thủy sản) đối với nguyên liệu sản xuất trong nước; </w:t>
            </w:r>
          </w:p>
          <w:p>
            <w:pPr>
              <w:bidi w:val="0"/>
              <w:spacing w:before="120" w:beforeAutospacing="0" w:after="280" w:afterAutospacing="1"/>
              <w:rPr>
                <w:rtl w:val="0"/>
              </w:rPr>
            </w:pPr>
            <w:r>
              <w:rPr>
                <w:rtl w:val="0"/>
              </w:rPr>
              <w:t xml:space="preserve">+ Áp dụng phương thức 7 theo Thông tư số 14/2026/TT-BKHCN đối với nguyên liệu nhập khẩu. </w:t>
            </w:r>
          </w:p>
          <w:p>
            <w:pPr>
              <w:bidi w:val="0"/>
              <w:spacing w:before="120" w:beforeAutospacing="0" w:after="0" w:afterAutospacing="0"/>
              <w:rPr>
                <w:rtl w:val="0"/>
              </w:rPr>
            </w:pPr>
            <w:r>
              <w:rPr>
                <w:rtl w:val="0"/>
              </w:rPr>
              <w:t xml:space="preserve">- </w:t>
            </w:r>
            <w:r>
              <w:rPr>
                <w:rtl w:val="0"/>
              </w:rPr>
              <w:t>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5.2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Thức ăn thủy</w:t>
            </w:r>
            <w:r>
              <w:rPr>
                <w:rtl w:val="0"/>
              </w:rPr>
              <w:t xml:space="preserve"> </w:t>
            </w:r>
            <w:r>
              <w:rPr>
                <w:b/>
                <w:bCs/>
                <w:rtl w:val="0"/>
              </w:rPr>
              <w:t>sản</w:t>
            </w:r>
            <w:r>
              <w:rPr>
                <w:rtl w:val="0"/>
              </w:rPr>
              <w:t xml:space="preserve"> </w:t>
            </w:r>
            <w:r>
              <w:rPr>
                <w:b/>
                <w:bCs/>
                <w:rtl w:val="0"/>
              </w:rPr>
              <w:t>(Hỗn</w:t>
            </w:r>
            <w:r>
              <w:rPr>
                <w:rtl w:val="0"/>
              </w:rPr>
              <w:t xml:space="preserve"> </w:t>
            </w:r>
            <w:r>
              <w:rPr>
                <w:b/>
                <w:bCs/>
                <w:rtl w:val="0"/>
              </w:rPr>
              <w:t>hợp,</w:t>
            </w:r>
            <w:r>
              <w:rPr>
                <w:rtl w:val="0"/>
              </w:rPr>
              <w:t xml:space="preserve"> </w:t>
            </w:r>
            <w:r>
              <w:rPr>
                <w:b/>
                <w:bCs/>
                <w:rtl w:val="0"/>
              </w:rPr>
              <w:t>chất</w:t>
            </w:r>
            <w:r>
              <w:rPr>
                <w:rtl w:val="0"/>
              </w:rPr>
              <w:t xml:space="preserve"> </w:t>
            </w:r>
            <w:r>
              <w:rPr>
                <w:b/>
                <w:bCs/>
                <w:rtl w:val="0"/>
              </w:rPr>
              <w:t>bổ sung, tươi sống)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93:2025/BNNMT </w:t>
            </w:r>
          </w:p>
          <w:p>
            <w:pPr>
              <w:bidi w:val="0"/>
              <w:spacing w:before="120" w:beforeAutospacing="0" w:after="280" w:afterAutospacing="1"/>
              <w:rPr>
                <w:rtl w:val="0"/>
              </w:rPr>
            </w:pPr>
            <w:r>
              <w:rPr>
                <w:rtl w:val="0"/>
              </w:rPr>
              <w:t xml:space="preserve">QCVN 94:2025/BNNMT </w:t>
            </w:r>
          </w:p>
          <w:p>
            <w:pPr>
              <w:bidi w:val="0"/>
              <w:spacing w:before="120" w:beforeAutospacing="0" w:after="0" w:afterAutospacing="0"/>
              <w:rPr>
                <w:rtl w:val="0"/>
              </w:rPr>
            </w:pPr>
            <w:r>
              <w:rPr>
                <w:rtl w:val="0"/>
              </w:rPr>
              <w:t>QCVN 100:2025/BNNMT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kết quả chứng nhận hợp quy của tổ chức chứng nhận được công nhận theo quy định của pháp luật hoặc kết quả tự đánh giá của tổ chức, cá nhân trên cơ sở kết quả thử nghiệm của tổ chức thử nghiệm được công nhận hoặc được chỉ định theo quy định của pháp luật. </w:t>
            </w:r>
          </w:p>
          <w:p>
            <w:pPr>
              <w:bidi w:val="0"/>
              <w:spacing w:before="120" w:beforeAutospacing="0" w:after="280" w:afterAutospacing="1"/>
              <w:rPr>
                <w:rtl w:val="0"/>
              </w:rPr>
            </w:pPr>
            <w:r>
              <w:rPr>
                <w:rtl w:val="0"/>
              </w:rPr>
              <w:t xml:space="preserve">- </w:t>
            </w:r>
            <w:r>
              <w:rPr>
                <w:rtl w:val="0"/>
              </w:rPr>
              <w:t xml:space="preserve">Phương thức đánh giá sự phù hợp: </w:t>
            </w:r>
          </w:p>
          <w:p>
            <w:pPr>
              <w:bidi w:val="0"/>
              <w:spacing w:before="120" w:beforeAutospacing="0" w:after="280" w:afterAutospacing="1"/>
              <w:rPr>
                <w:rtl w:val="0"/>
              </w:rPr>
            </w:pPr>
            <w:r>
              <w:rPr>
                <w:rtl w:val="0"/>
              </w:rPr>
              <w:t xml:space="preserve">+ Áp dụng phương thức 5 theo Thông tư số 14/2026/TT-BKHCN (không phải đánh giá quá trình sản xuất mà sử dụng kết quả kiểm tra điều kiện sản xuất thức ăn thủy sản thực hiện theo quy định tại </w:t>
            </w:r>
            <w:bookmarkStart w:id="27" w:name="dc_6"/>
            <w:r>
              <w:rPr>
                <w:rtl w:val="0"/>
              </w:rPr>
              <w:t>Điều 14 Nghị định số 41/2026/NĐ-CP</w:t>
            </w:r>
            <w:bookmarkEnd w:id="27"/>
            <w:r>
              <w:rPr>
                <w:rtl w:val="0"/>
              </w:rPr>
              <w:t xml:space="preserve"> ngày 25/01/2026 của Chính phủ Quy định chi tiết một số điều và biện pháp thi hành Luật Thủy sản) đối với nguyên liệu sản xuất trong nước; </w:t>
            </w:r>
          </w:p>
          <w:p>
            <w:pPr>
              <w:bidi w:val="0"/>
              <w:spacing w:before="120" w:beforeAutospacing="0" w:after="280" w:afterAutospacing="1"/>
              <w:rPr>
                <w:rtl w:val="0"/>
              </w:rPr>
            </w:pPr>
            <w:r>
              <w:rPr>
                <w:rtl w:val="0"/>
              </w:rPr>
              <w:t xml:space="preserve">+ Áp dụng phương thức 7 theo Thông tư số 14/2026/TT-BKHCN đối với nguyên liệu nhập khẩu. </w:t>
            </w:r>
          </w:p>
          <w:p>
            <w:pPr>
              <w:bidi w:val="0"/>
              <w:spacing w:before="120" w:beforeAutospacing="0" w:after="0" w:afterAutospacing="0"/>
              <w:rPr>
                <w:rtl w:val="0"/>
              </w:rPr>
            </w:pPr>
            <w:r>
              <w:rPr>
                <w:rtl w:val="0"/>
              </w:rPr>
              <w:t xml:space="preserve">- </w:t>
            </w:r>
            <w:r>
              <w:rPr>
                <w:rtl w:val="0"/>
              </w:rPr>
              <w:t>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hoàn chỉnh loại dùng cho tôm</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2309.90.13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Thức ăn hoàn chỉnh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2309.90.19</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Rong biển và các loại tảo khác: loại khác, tươi, ướp lạnh hoặc khô; Loại khác, đông lạnh (dùng trong nuôi trồng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xml:space="preserve">1212.29.20 </w:t>
            </w:r>
          </w:p>
          <w:p>
            <w:pPr>
              <w:bidi w:val="0"/>
              <w:spacing w:before="120" w:beforeAutospacing="0" w:after="0" w:afterAutospacing="0"/>
              <w:jc w:val="center"/>
              <w:rPr>
                <w:rtl w:val="0"/>
              </w:rPr>
            </w:pPr>
            <w:r>
              <w:rPr>
                <w:rtl w:val="0"/>
              </w:rPr>
              <w:t>1212.29.30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Trứng Artemia (Artemia egg; Brine shrimp egg)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0511.91.20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Chất bổ sung thức ăn hoặc phụ gia thức ăn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2309.90.90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28" w:name="dieu_6_1"/>
            <w:r>
              <w:rPr>
                <w:b/>
                <w:bCs/>
                <w:rtl w:val="0"/>
              </w:rPr>
              <w:t>6</w:t>
            </w:r>
            <w:bookmarkEnd w:id="28"/>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29" w:name="dieu_6_1_name"/>
            <w:r>
              <w:rPr>
                <w:b/>
                <w:bCs/>
                <w:rtl w:val="0"/>
              </w:rPr>
              <w:t>Sản phẩm xử lý môi trường nuôi trồng thủy sản</w:t>
            </w:r>
            <w:bookmarkEnd w:id="29"/>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QCVN 97:2025/BNNMT; </w:t>
            </w:r>
          </w:p>
          <w:p>
            <w:pPr>
              <w:bidi w:val="0"/>
              <w:spacing w:before="120" w:beforeAutospacing="0" w:after="0" w:afterAutospacing="0"/>
              <w:rPr>
                <w:rtl w:val="0"/>
              </w:rPr>
            </w:pPr>
            <w:r>
              <w:rPr>
                <w:rtl w:val="0"/>
              </w:rPr>
              <w:t>QCVN 02-32-2:2020/BNNPTNT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hợp quy dựa trên kết quả chứng nhận hợp quy của tổ chức chứng nhận được công nhận theo quy định của pháp luật hoặc kết quả tự đánh giá của tổ chức, cá nhân trên cơ sở kết quả thử nghiệm của tổ chức thử nghiệm được công nhận hoặc được chỉ định theo quy định của pháp luật. </w:t>
            </w:r>
          </w:p>
          <w:p>
            <w:pPr>
              <w:bidi w:val="0"/>
              <w:spacing w:before="120" w:beforeAutospacing="0" w:after="280" w:afterAutospacing="1"/>
              <w:rPr>
                <w:rtl w:val="0"/>
              </w:rPr>
            </w:pPr>
            <w:r>
              <w:rPr>
                <w:rtl w:val="0"/>
              </w:rPr>
              <w:t xml:space="preserve">- </w:t>
            </w:r>
            <w:r>
              <w:rPr>
                <w:rtl w:val="0"/>
              </w:rPr>
              <w:t xml:space="preserve">Phương thức đánh giá sự phù hợp: </w:t>
            </w:r>
          </w:p>
          <w:p>
            <w:pPr>
              <w:bidi w:val="0"/>
              <w:spacing w:before="120" w:beforeAutospacing="0" w:after="280" w:afterAutospacing="1"/>
              <w:rPr>
                <w:rtl w:val="0"/>
              </w:rPr>
            </w:pPr>
            <w:r>
              <w:rPr>
                <w:rtl w:val="0"/>
              </w:rPr>
              <w:t xml:space="preserve">+ Áp dụng phương thức 5 theo Thông tư số 14/2026/TT-BKHCN (không phải đánh giá quá trình sản xuất mà sử dụng kết quả kiểm tra điều kiện sản xuất thức ăn thủy sản thực hiện theo quy định tại </w:t>
            </w:r>
            <w:bookmarkStart w:id="30" w:name="dc_7"/>
            <w:r>
              <w:rPr>
                <w:rtl w:val="0"/>
              </w:rPr>
              <w:t>Điều 14 Nghị định số 41/2026/NĐ-CP</w:t>
            </w:r>
            <w:bookmarkEnd w:id="30"/>
            <w:r>
              <w:rPr>
                <w:rtl w:val="0"/>
              </w:rPr>
              <w:t xml:space="preserve"> ngày 25/01/2026 của Chính phủ Quy định chi tiết một số điều và biện pháp thi hành Luật Thủy sản) đối với sản phẩm sản xuất trong nước; </w:t>
            </w:r>
          </w:p>
          <w:p>
            <w:pPr>
              <w:bidi w:val="0"/>
              <w:spacing w:before="120" w:beforeAutospacing="0" w:after="280" w:afterAutospacing="1"/>
              <w:rPr>
                <w:rtl w:val="0"/>
              </w:rPr>
            </w:pPr>
            <w:r>
              <w:rPr>
                <w:rtl w:val="0"/>
              </w:rPr>
              <w:t>+ Áp dụng phương thức 7 theo Thông tư số 14/2026/TT-BKHCN đối với sản phẩm nhập khẩu.</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Zeolite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2842.10.00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Dolomite chưa nung hoặc thiêu kết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2518.10.00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Dolomite đã nung hoặc thiêu kết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2518.20.00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6.4</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Vôi sống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2522.10.00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6.5</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Vôi tôi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2522.20.00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6.6</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CaCO3</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2836.50.90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6.7</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Thuốc khử trùng: Loại khác (dùng trong nuôi trồng thủy sản)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3808.94.90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6.8</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Kích thích sự phát triển của tảo, gây màu nước, ổn định môi trường nuôi (hỗn hợp khoáng (premix khoáng), hỗn hợp vitamin (premix vitamin) và hỗn hợp khoáng - vitamin, sodium humate,…):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Muối khác của axit vô cơ hoặc peroxoaxit (kể cả nhôm silicat đã hoặc chưa xác định về mặt hóa học), trừ các chất azit: </w:t>
            </w:r>
          </w:p>
          <w:p>
            <w:pPr>
              <w:bidi w:val="0"/>
              <w:spacing w:before="120" w:beforeAutospacing="0" w:after="280" w:afterAutospacing="1"/>
              <w:rPr>
                <w:rtl w:val="0"/>
              </w:rPr>
            </w:pPr>
            <w:r>
              <w:rPr>
                <w:rtl w:val="0"/>
              </w:rPr>
              <w:t xml:space="preserve">- </w:t>
            </w:r>
            <w:r>
              <w:rPr>
                <w:rtl w:val="0"/>
              </w:rPr>
              <w:t xml:space="preserve">Loại khác: </w:t>
            </w:r>
          </w:p>
          <w:p>
            <w:pPr>
              <w:bidi w:val="0"/>
              <w:spacing w:before="120" w:beforeAutospacing="0" w:after="0" w:afterAutospacing="0"/>
              <w:rPr>
                <w:rtl w:val="0"/>
              </w:rPr>
            </w:pPr>
            <w:r>
              <w:rPr>
                <w:rtl w:val="0"/>
              </w:rPr>
              <w:t xml:space="preserve">- </w:t>
            </w:r>
            <w:r>
              <w:rPr>
                <w:rtl w:val="0"/>
              </w:rPr>
              <w:t>- Loại khác</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2842.90.90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bón gốc thực vật hoặc động vật, đã hoặc chưa pha trộn với nhau hoặc qua xử lý hóa học; phân bón sản xuất bằng cách pha trộn hoặc xử lý hóa học các sản phẩm động vật hoặc thực vật</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31.01</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khoáng hoặc phân hóa học, có chứa nitơ</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31.02</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khoáng hoặc phân hóa học, có chứa phosphat (phân lân)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31.03</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khoáng hoặc phân hóa học, có chứa kali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31.04</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Phân khoáng hoặc phân hóa học chứa hai hoặc ba nguyên tố cấu thành phân bón là nitơ, phospho và ka li; phân bón khác; các mặt hàng của Chương này ở dạng viên (tablet) hoặc các dạng tương tự hoặc đóng gói với trọng lượng cả bì không quá 10 kg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31.05</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6.9</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Chế phẩm sinh học xử lý môi trường nuôi trồng thủy sản (Vi sinh vật, Enzyme,…)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3002.90.00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6.10</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xml:space="preserve">Saponin (Chất chiết từ cây </w:t>
            </w:r>
            <w:r>
              <w:rPr>
                <w:i/>
                <w:iCs/>
                <w:rtl w:val="0"/>
              </w:rPr>
              <w:t>Yucca</w:t>
            </w:r>
            <w:r>
              <w:rPr>
                <w:rtl w:val="0"/>
              </w:rPr>
              <w:t xml:space="preserve"> </w:t>
            </w:r>
            <w:r>
              <w:rPr>
                <w:i/>
                <w:iCs/>
                <w:rtl w:val="0"/>
              </w:rPr>
              <w:t xml:space="preserve">schidigera </w:t>
            </w:r>
            <w:r>
              <w:rPr>
                <w:rtl w:val="0"/>
              </w:rPr>
              <w:t>hoặc cây bã trà (Tea seed meal).</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xml:space="preserve">2306.90.90; </w:t>
            </w:r>
          </w:p>
          <w:p>
            <w:pPr>
              <w:bidi w:val="0"/>
              <w:spacing w:before="120" w:beforeAutospacing="0" w:after="0" w:afterAutospacing="0"/>
              <w:jc w:val="center"/>
              <w:rPr>
                <w:rtl w:val="0"/>
              </w:rPr>
            </w:pPr>
            <w:r>
              <w:rPr>
                <w:rtl w:val="0"/>
              </w:rPr>
              <w:t>3808.99.90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1" w:name="dieu_7_1"/>
            <w:r>
              <w:rPr>
                <w:b/>
                <w:bCs/>
                <w:rtl w:val="0"/>
              </w:rPr>
              <w:t>7</w:t>
            </w:r>
            <w:bookmarkEnd w:id="31"/>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32" w:name="dieu_7_1_name"/>
            <w:r>
              <w:rPr>
                <w:b/>
                <w:bCs/>
                <w:rtl w:val="0"/>
              </w:rPr>
              <w:t>Keo dán gỗ</w:t>
            </w:r>
            <w:bookmarkEnd w:id="32"/>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 xml:space="preserve">3506.10.00 </w:t>
            </w:r>
          </w:p>
          <w:p>
            <w:pPr>
              <w:bidi w:val="0"/>
              <w:spacing w:before="120" w:beforeAutospacing="0" w:after="280" w:afterAutospacing="1"/>
              <w:jc w:val="center"/>
              <w:rPr>
                <w:rtl w:val="0"/>
              </w:rPr>
            </w:pPr>
            <w:r>
              <w:rPr>
                <w:rtl w:val="0"/>
              </w:rPr>
              <w:t xml:space="preserve">3506.91.90 </w:t>
            </w:r>
          </w:p>
          <w:p>
            <w:pPr>
              <w:bidi w:val="0"/>
              <w:spacing w:before="120" w:beforeAutospacing="0" w:after="0" w:afterAutospacing="0"/>
              <w:jc w:val="center"/>
              <w:rPr>
                <w:rtl w:val="0"/>
              </w:rPr>
            </w:pPr>
            <w:r>
              <w:rPr>
                <w:rtl w:val="0"/>
              </w:rPr>
              <w:t>3506.99.00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03-01:2022/BNNPTNT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 </w:t>
            </w:r>
          </w:p>
          <w:p>
            <w:pPr>
              <w:bidi w:val="0"/>
              <w:spacing w:before="120" w:beforeAutospacing="0" w:after="280" w:afterAutospacing="1"/>
              <w:rPr>
                <w:rtl w:val="0"/>
              </w:rPr>
            </w:pPr>
            <w:r>
              <w:rPr>
                <w:rtl w:val="0"/>
              </w:rPr>
              <w:t xml:space="preserve">- </w:t>
            </w:r>
            <w:r>
              <w:rPr>
                <w:rtl w:val="0"/>
              </w:rPr>
              <w:t>Phương thức đánh giá sự phù hợp: Áp dụng phương thức 5 hoặc phương thức 7 theo quy định tại Thông tư số 14/2026/TT-BKHCN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Keo amino: (i) Keo ure-formaldehyde; (ii) Keo melamin -formaldehyde; (iii) Keo melamin - ure - formaldehyde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Keo phenol: (1) Keo phenol - formaldehyde; (ii) Keo resorcinol - formaldehyde; (iii) Keo phenol- resorcinol formaldehyde</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Keo novolac epoxy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3" w:name="dieu_8_1"/>
            <w:r>
              <w:rPr>
                <w:b/>
                <w:bCs/>
                <w:rtl w:val="0"/>
              </w:rPr>
              <w:t>8</w:t>
            </w:r>
            <w:bookmarkEnd w:id="33"/>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bookmarkStart w:id="34" w:name="dieu_8_1_name"/>
            <w:r>
              <w:rPr>
                <w:b/>
                <w:bCs/>
                <w:rtl w:val="0"/>
              </w:rPr>
              <w:t>Máy, thiết bị nông nghiệp</w:t>
            </w:r>
            <w:bookmarkEnd w:id="34"/>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phun thuốc trừ sâu đeo vai</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01-182:2015/BNNPTNT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phù hợp quy chuẩn kỹ thuật tương ứng dựa trên: Kết quả chứng nhận hợp quy của tổ chức chứng nhận được công nhận hoặc được Bộ Nông nghiệp và Môi trường chỉ định theo quy định của pháp luật về tiêu chuẩn và quy chuẩn kỹ thuật, pháp luật về chất lượng sản phẩm, hàng hóa; Kết quả tự đánh giá của tổ chức, cá nhân. </w:t>
            </w:r>
          </w:p>
          <w:p>
            <w:pPr>
              <w:bidi w:val="0"/>
              <w:spacing w:before="120" w:beforeAutospacing="0" w:after="280" w:afterAutospacing="1"/>
              <w:rPr>
                <w:rtl w:val="0"/>
              </w:rPr>
            </w:pPr>
            <w:r>
              <w:rPr>
                <w:rtl w:val="0"/>
              </w:rPr>
              <w:t xml:space="preserve">- </w:t>
            </w:r>
            <w:r>
              <w:rPr>
                <w:rtl w:val="0"/>
              </w:rPr>
              <w:t>Phương thức đánh giá sự phù hợp: Áp dụng phương thức 5 đối với máy sản xuất trong nước và phương thức 7 đối với máy nhập khẩu theo Thông tư số 14/2026/TT-BKHCN.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8.1.1</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phun thuốc trừ sâu đeo vai hoạt động bằng tay</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8424.41.10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8.1.2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phun thuốc trừ sâu đeo vai hoạt động bằng động cơ đốt trong</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8424.41.20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8.1.3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phun thuốc trừ sâu đeo vai hoạt động bằng động cơ điện</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8424.41.90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8.2</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cắt cỏ cầm tay dùng trong nông lâm nghiệp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8433.20.00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89:2025/BNNMT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w:t>
            </w:r>
            <w:r>
              <w:rPr>
                <w:rtl w:val="0"/>
              </w:rPr>
              <w:t xml:space="preserve">Công bố phù hợp quy chuẩn kỹ thuật tương ứng dựa trên: Kết quả chứng nhận hợp quy của tổ chức chứng nhận được công nhận hoặc được Bộ Nông nghiệp và Môi trường chỉ định theo quy định của pháp luật về tiêu chuẩn và quy chuẩn kỹ thuật, pháp luật về chất lượng sản phẩm, hàng hóa; Kết quả tự đánh giá của tổ chức, cá nhân. </w:t>
            </w:r>
          </w:p>
          <w:p>
            <w:pPr>
              <w:bidi w:val="0"/>
              <w:spacing w:before="120" w:beforeAutospacing="0" w:after="280" w:afterAutospacing="1"/>
              <w:rPr>
                <w:rtl w:val="0"/>
              </w:rPr>
            </w:pPr>
            <w:r>
              <w:rPr>
                <w:rtl w:val="0"/>
              </w:rPr>
              <w:t xml:space="preserve">- </w:t>
            </w:r>
            <w:r>
              <w:rPr>
                <w:rtl w:val="0"/>
              </w:rPr>
              <w:t xml:space="preserve">Phương thức đánh giá sự phù hợp: Áp dụng phương thức 5 đối với máy sản xuất trong nước và phương thức 7 đối với máy nhập khẩu theo Thông tư số 14/2026/TT-BKHCN. </w:t>
            </w:r>
          </w:p>
          <w:p>
            <w:pPr>
              <w:bidi w:val="0"/>
              <w:spacing w:before="120" w:beforeAutospacing="0" w:after="0" w:afterAutospacing="0"/>
              <w:rPr>
                <w:rtl w:val="0"/>
              </w:rPr>
            </w:pPr>
            <w:r>
              <w:rPr>
                <w:rtl w:val="0"/>
              </w:rPr>
              <w:t xml:space="preserve">- </w:t>
            </w:r>
            <w:r>
              <w:rPr>
                <w:rtl w:val="0"/>
              </w:rPr>
              <w:t>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8.3</w:t>
            </w:r>
          </w:p>
        </w:tc>
        <w:tc>
          <w:tcPr>
            <w:tcW w:w="159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Máy gặt đập liên hợp</w:t>
            </w:r>
          </w:p>
        </w:tc>
        <w:tc>
          <w:tcPr>
            <w:tcW w:w="48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8433.51.00</w:t>
            </w:r>
          </w:p>
        </w:tc>
        <w:tc>
          <w:tcPr>
            <w:tcW w:w="120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90:2025/BNNMT</w:t>
            </w:r>
          </w:p>
        </w:tc>
        <w:tc>
          <w:tcPr>
            <w:tcW w:w="137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 Công bố phù hợp quy chuẩn kỹ thuật tương ứng dựa trên: Kết quả chứng nhận hợp quy của tổ chức chứng nhận được công nhận hoặc được Bộ Nông nghiệp và Môi trường chỉ định theo quy định của pháp luật về tiêu chuẩn và quy chuẩn kỹ thuật, pháp luật về chất lượng sản phẩm, hàng hóa; Kết quả tự đánh giá của tổ chức, cá nhân. </w:t>
            </w:r>
          </w:p>
          <w:p>
            <w:pPr>
              <w:bidi w:val="0"/>
              <w:spacing w:before="120" w:beforeAutospacing="0" w:after="280" w:afterAutospacing="1"/>
              <w:rPr>
                <w:rtl w:val="0"/>
              </w:rPr>
            </w:pPr>
            <w:r>
              <w:rPr>
                <w:rtl w:val="0"/>
              </w:rPr>
              <w:t xml:space="preserve">- </w:t>
            </w:r>
            <w:r>
              <w:rPr>
                <w:rtl w:val="0"/>
              </w:rPr>
              <w:t xml:space="preserve">Phương thức đánh giá sự phù hợp: Áp dụng phương thức 5 đối với máy sản xuất trong nước và phương thức 7 đối với máy nhập khẩu theo Thông tư số 14/2026/TT-BKHCN. </w:t>
            </w:r>
          </w:p>
          <w:p>
            <w:pPr>
              <w:bidi w:val="0"/>
              <w:spacing w:before="120" w:beforeAutospacing="0" w:after="0" w:afterAutospacing="0"/>
              <w:rPr>
                <w:rtl w:val="0"/>
              </w:rPr>
            </w:pPr>
            <w:r>
              <w:rPr>
                <w:rtl w:val="0"/>
              </w:rPr>
              <w:t xml:space="preserve">- </w:t>
            </w:r>
            <w:r>
              <w:rPr>
                <w:rtl w:val="0"/>
              </w:rPr>
              <w:t>Hàng hóa nhập khẩu thực hiện công bố hợp quy trước khi lưu thông trên thị trường.</w:t>
            </w:r>
          </w:p>
        </w:tc>
      </w:tr>
    </w:tbl>
    <w:p>
      <w:pPr>
        <w:bidi w:val="0"/>
        <w:spacing w:before="120" w:beforeAutospacing="0" w:after="280" w:afterAutospacing="1"/>
        <w:rPr>
          <w:rtl w:val="0"/>
        </w:rPr>
      </w:pPr>
      <w:r>
        <w:rPr>
          <w:b/>
          <w:bCs/>
          <w:i/>
          <w:iCs/>
          <w:rtl w:val="0"/>
        </w:rPr>
        <w:t> </w:t>
      </w:r>
    </w:p>
    <w:p>
      <w:pPr>
        <w:bidi w:val="0"/>
        <w:spacing w:before="120" w:beforeAutospacing="0" w:after="280" w:afterAutospacing="1"/>
        <w:rPr>
          <w:rtl w:val="0"/>
        </w:rPr>
      </w:pPr>
      <w:r>
        <w:rPr>
          <w:b/>
          <w:bCs/>
          <w:i/>
          <w:iCs/>
          <w:rtl w:val="0"/>
        </w:rPr>
        <w:t>Ghi</w:t>
      </w:r>
      <w:r>
        <w:rPr>
          <w:rtl w:val="0"/>
        </w:rPr>
        <w:t xml:space="preserve"> </w:t>
      </w:r>
      <w:r>
        <w:rPr>
          <w:b/>
          <w:bCs/>
          <w:i/>
          <w:iCs/>
          <w:rtl w:val="0"/>
        </w:rPr>
        <w:t>chú:</w:t>
      </w:r>
    </w:p>
    <w:p>
      <w:pPr>
        <w:bidi w:val="0"/>
        <w:spacing w:before="120" w:beforeAutospacing="0" w:after="280" w:afterAutospacing="1"/>
        <w:rPr>
          <w:rtl w:val="0"/>
        </w:rPr>
      </w:pPr>
      <w:r>
        <w:rPr>
          <w:i/>
          <w:iCs/>
          <w:rtl w:val="0"/>
        </w:rPr>
        <w:t>-</w:t>
      </w:r>
      <w:r>
        <w:rPr>
          <w:rtl w:val="0"/>
        </w:rPr>
        <w:t xml:space="preserve"> </w:t>
      </w:r>
      <w:r>
        <w:rPr>
          <w:i/>
          <w:iCs/>
          <w:rtl w:val="0"/>
        </w:rPr>
        <w:t>Đối với nguyên liệu dùng chung để sản xuất thức ăn chăn nuôi và sản xuất thức ăn thuỷ sản thì tổ chức, cá nhân nhập khẩu, sản xuất thức ăn dùng chung phải đáp ứng quy định hiện hành đối với cả nguyên liệu sản xuất thức ăn chăn nuôi và nguyên liệu sản xuất thức ăn thuỷ sản. Cơ quan kiểm tra có trách nhiệm cung cấp thông tin kết quả thực hiện kiểm tra chất lượng nguyên liệu dùng chung trong chăn nuôi và thuỷ sản cho nhau để phối hợp quản lý.</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bookmarkStart w:id="35" w:name="chuong_pl_2"/>
      <w:r>
        <w:rPr>
          <w:b/>
          <w:bCs/>
          <w:sz w:val="24"/>
          <w:rtl w:val="0"/>
        </w:rPr>
        <w:t>PHỤ LỤC II</w:t>
      </w:r>
      <w:bookmarkEnd w:id="35"/>
    </w:p>
    <w:p>
      <w:pPr>
        <w:bidi w:val="0"/>
        <w:spacing w:before="120" w:beforeAutospacing="0" w:after="280" w:afterAutospacing="1"/>
        <w:jc w:val="center"/>
        <w:rPr>
          <w:rtl w:val="0"/>
        </w:rPr>
      </w:pPr>
      <w:bookmarkStart w:id="36" w:name="chuong_pl_2_name"/>
      <w:r>
        <w:rPr>
          <w:rtl w:val="0"/>
        </w:rPr>
        <w:t>DANH MỤC SẢN PHẨM, HÀNG HÓA CÓ MỨC ĐỘ RỦI RO CAO THUỘC TRÁCH NHIỆM QUẢN LÝ CỦA BỘ NÔNG NGHIỆP VÀ MÔI TRƯỜNG</w:t>
      </w:r>
      <w:bookmarkEnd w:id="36"/>
      <w:r>
        <w:rPr>
          <w:rtl w:val="0"/>
        </w:rPr>
        <w:br/>
      </w:r>
      <w:r>
        <w:rPr>
          <w:i/>
          <w:iCs/>
          <w:rtl w:val="0"/>
        </w:rPr>
        <w:t>(Ban hành kèm theo Thông tư số 27/2026/TT-BNNMT ngày 30 tháng 06 năm 2026 của Bộ trưởng Bộ Nông nghiệp và Môi trường)</w:t>
      </w:r>
    </w:p>
    <w:tbl>
      <w:tblPr>
        <w:tblW w:w="5000" w:type="pct"/>
        <w:jc w:val="left"/>
        <w:tblCellMar>
          <w:top w:w="0" w:type="dxa"/>
          <w:left w:w="0" w:type="dxa"/>
          <w:bottom w:w="0" w:type="dxa"/>
          <w:right w:w="0" w:type="dxa"/>
        </w:tblCellMar>
      </w:tblPr>
      <w:tblGrid>
        <w:gridCol w:w="700"/>
        <w:gridCol w:w="2846"/>
        <w:gridCol w:w="1100"/>
        <w:gridCol w:w="2100"/>
        <w:gridCol w:w="1893"/>
      </w:tblGrid>
      <w:tr>
        <w:tblPrEx>
          <w:tblW w:w="5000" w:type="pct"/>
          <w:jc w:val="left"/>
          <w:tblCellMar>
            <w:top w:w="0" w:type="dxa"/>
            <w:left w:w="0" w:type="dxa"/>
            <w:bottom w:w="0" w:type="dxa"/>
            <w:right w:w="0" w:type="dxa"/>
          </w:tblCellMar>
        </w:tblPrEx>
        <w:trPr>
          <w:jc w:val="left"/>
        </w:trPr>
        <w:tc>
          <w:tcPr>
            <w:tcW w:w="33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TT</w:t>
            </w:r>
          </w:p>
        </w:tc>
        <w:tc>
          <w:tcPr>
            <w:tcW w:w="17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sản phẩm/hàng hóa</w:t>
            </w:r>
          </w:p>
        </w:tc>
        <w:tc>
          <w:tcPr>
            <w:tcW w:w="5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Mã</w:t>
            </w:r>
            <w:r>
              <w:rPr>
                <w:rtl w:val="0"/>
              </w:rPr>
              <w:t xml:space="preserve"> </w:t>
            </w:r>
            <w:r>
              <w:rPr>
                <w:b/>
                <w:bCs/>
                <w:rtl w:val="0"/>
              </w:rPr>
              <w:t>HS</w:t>
            </w:r>
          </w:p>
        </w:tc>
        <w:tc>
          <w:tcPr>
            <w:tcW w:w="12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Quy chuẩn kỹ thuật áp dụng</w:t>
            </w:r>
          </w:p>
        </w:tc>
        <w:tc>
          <w:tcPr>
            <w:tcW w:w="117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Yêu cầu quản lý chất lượng tương ứng</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Thuốc bảo vệ thực vật</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QCVN 01-188:2018/BNNPTNT</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rtl w:val="0"/>
              </w:rPr>
              <w:t>- Phương thức đánh giá sự phù hợp: Áp dụng theo phương thức 5 và phương thức 7 quy định tại Thông tư 14/2026/TT-BKHCN.</w:t>
            </w:r>
          </w:p>
          <w:p>
            <w:pPr>
              <w:bidi w:val="0"/>
              <w:spacing w:before="120" w:beforeAutospacing="0" w:after="0" w:afterAutospacing="0"/>
              <w:rPr>
                <w:rtl w:val="0"/>
              </w:rPr>
            </w:pPr>
            <w:r>
              <w:rPr>
                <w:rtl w:val="0"/>
              </w:rPr>
              <w:t>- Hàng hóa nhập khẩu thực hiện kiểm tra nhà nước về chất lượng theo quy định của pháp luật.</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Thuốc trừ côn trùng, thuốc diệt loài gặm nhấm, thuốc trừ nấm, thuốc diệt cỏ, thuốc chống nẩy mầm và thuốc điều hòa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38.08</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1.1</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w:t>
            </w:r>
            <w:r>
              <w:rPr>
                <w:rtl w:val="0"/>
              </w:rPr>
              <w:t xml:space="preserve"> </w:t>
            </w:r>
            <w:r>
              <w:rPr>
                <w:b/>
                <w:bCs/>
                <w:rtl w:val="0"/>
              </w:rPr>
              <w:t>-</w:t>
            </w:r>
            <w:r>
              <w:rPr>
                <w:rtl w:val="0"/>
              </w:rPr>
              <w:t xml:space="preserve"> </w:t>
            </w:r>
            <w:r>
              <w:rPr>
                <w:b/>
                <w:bCs/>
                <w:rtl w:val="0"/>
              </w:rPr>
              <w:t>Thuốc trừ côn trùng:</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3808.91</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1.1.1</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Các chế phẩm trung gian chứa 2- (methylpropyl-phenol methylcarbamate)</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3808.91.10</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1.1.2</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Dạng bình xịt</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3808.91.30</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1.1.3</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3808.91.99</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1.2</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w:t>
            </w:r>
            <w:r>
              <w:rPr>
                <w:rtl w:val="0"/>
              </w:rPr>
              <w:t xml:space="preserve"> </w:t>
            </w:r>
            <w:r>
              <w:rPr>
                <w:b/>
                <w:bCs/>
                <w:rtl w:val="0"/>
              </w:rPr>
              <w:t>-</w:t>
            </w:r>
            <w:r>
              <w:rPr>
                <w:rtl w:val="0"/>
              </w:rPr>
              <w:t xml:space="preserve"> </w:t>
            </w:r>
            <w:r>
              <w:rPr>
                <w:b/>
                <w:bCs/>
                <w:rtl w:val="0"/>
              </w:rPr>
              <w:t>Thuốc trừ nấm:</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3808.92</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w:t>
            </w:r>
          </w:p>
        </w:tc>
        <w:tc>
          <w:tcPr>
            <w:tcW w:w="17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Dạng bình xịt:</w:t>
            </w:r>
          </w:p>
        </w:tc>
        <w:tc>
          <w:tcPr>
            <w:tcW w:w="5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1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1.2.1.1</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 Với hàm lượng validamycin không quá 3% tính theo khối lượng tịnh</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3808.92.11</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1.2.1.2</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 Loại khác</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3808.92.19</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1.2.1.3</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3808.92.90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1.3</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w:t>
            </w:r>
            <w:r>
              <w:rPr>
                <w:rtl w:val="0"/>
              </w:rPr>
              <w:t xml:space="preserve"> </w:t>
            </w:r>
            <w:r>
              <w:rPr>
                <w:b/>
                <w:bCs/>
                <w:rtl w:val="0"/>
              </w:rPr>
              <w:t>-</w:t>
            </w:r>
            <w:r>
              <w:rPr>
                <w:rtl w:val="0"/>
              </w:rPr>
              <w:t xml:space="preserve"> </w:t>
            </w:r>
            <w:r>
              <w:rPr>
                <w:b/>
                <w:bCs/>
                <w:rtl w:val="0"/>
              </w:rPr>
              <w:t>Thuốc diệt cỏ, thuốc chống nẩy mầm và thuốc điều hòa sinh trưởng cây trồng:</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3808.93</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1.3.1</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Thuốc diệt cỏ:</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1.3.1.1</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 Dạng bình xịt</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3808.93.11</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1.3.1.2</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 Loại khác</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3808.93.19</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1.3.1.3</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Thuốc chống nảy mầm</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3808.93.20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1.3.1.4</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Thuốc điều hòa sinh trưởng cây trồng</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3808.93.30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1.4</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w:t>
            </w:r>
            <w:r>
              <w:rPr>
                <w:rtl w:val="0"/>
              </w:rPr>
              <w:t xml:space="preserve"> </w:t>
            </w:r>
            <w:r>
              <w:rPr>
                <w:b/>
                <w:bCs/>
                <w:rtl w:val="0"/>
              </w:rPr>
              <w:t>-</w:t>
            </w:r>
            <w:r>
              <w:rPr>
                <w:rtl w:val="0"/>
              </w:rPr>
              <w:t xml:space="preserve"> </w:t>
            </w:r>
            <w:r>
              <w:rPr>
                <w:b/>
                <w:bCs/>
                <w:rtl w:val="0"/>
              </w:rPr>
              <w:t>Thuốc khử trùng:</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3808.94</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1.4.1</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Có chứa hỗn hợp các axit hắc ín than đá và các chất kiềm</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3808.94.10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1.4.2</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 dạng bình xịt</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3808.94.20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1.4.3</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3808.94.90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1.5</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w:t>
            </w:r>
            <w:r>
              <w:rPr>
                <w:rtl w:val="0"/>
              </w:rPr>
              <w:t xml:space="preserve"> </w:t>
            </w:r>
            <w:r>
              <w:rPr>
                <w:b/>
                <w:bCs/>
                <w:rtl w:val="0"/>
              </w:rPr>
              <w:t>-</w:t>
            </w:r>
            <w:r>
              <w:rPr>
                <w:rtl w:val="0"/>
              </w:rPr>
              <w:t xml:space="preserve"> </w:t>
            </w:r>
            <w:r>
              <w:rPr>
                <w:b/>
                <w:bCs/>
                <w:rtl w:val="0"/>
              </w:rPr>
              <w:t>Loại khác:</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3808.99</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1.5.1</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Thuốc bảo quản gỗ, chứa chất diệt côn trùng hoặc trừ nấm</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3808.99.10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3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1.5.2</w:t>
            </w:r>
          </w:p>
        </w:tc>
        <w:tc>
          <w:tcPr>
            <w:tcW w:w="176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 Loại khác</w:t>
            </w:r>
          </w:p>
        </w:tc>
        <w:tc>
          <w:tcPr>
            <w:tcW w:w="51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3808.99.90</w:t>
            </w:r>
          </w:p>
        </w:tc>
        <w:tc>
          <w:tcPr>
            <w:tcW w:w="120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17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